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000"/>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276860</wp:posOffset>
            </wp:positionH>
            <wp:positionV relativeFrom="page">
              <wp:posOffset>166370</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208915</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t>UNITED STATES</w:t>
      </w:r>
    </w:p>
    <w:p>
      <w:pPr>
        <w:spacing w:after="0" w:line="37" w:lineRule="exact"/>
        <w:rPr>
          <w:sz w:val="24"/>
          <w:szCs w:val="24"/>
          <w:color w:val="auto"/>
        </w:rPr>
      </w:pPr>
    </w:p>
    <w:p>
      <w:pPr>
        <w:jc w:val="center"/>
        <w:ind w:right="-1000"/>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ind w:left="4220"/>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218440</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07" w:lineRule="exact"/>
        <w:rPr>
          <w:sz w:val="24"/>
          <w:szCs w:val="24"/>
          <w:color w:val="auto"/>
        </w:rPr>
      </w:pPr>
    </w:p>
    <w:p>
      <w:pPr>
        <w:ind w:left="4700"/>
        <w:spacing w:after="0"/>
        <w:rPr>
          <w:sz w:val="20"/>
          <w:szCs w:val="20"/>
          <w:color w:val="auto"/>
        </w:rPr>
      </w:pPr>
      <w:r>
        <w:rPr>
          <w:rFonts w:ascii="Times New Roman" w:cs="Times New Roman" w:eastAsia="Times New Roman" w:hAnsi="Times New Roman"/>
          <w:sz w:val="32"/>
          <w:szCs w:val="32"/>
          <w:b w:val="1"/>
          <w:bCs w:val="1"/>
          <w:color w:val="auto"/>
        </w:rPr>
        <w:t>FORM 6-K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250825</wp:posOffset>
            </wp:positionV>
            <wp:extent cx="14744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73" w:lineRule="exact"/>
        <w:rPr>
          <w:sz w:val="24"/>
          <w:szCs w:val="24"/>
          <w:color w:val="auto"/>
        </w:rPr>
      </w:pPr>
    </w:p>
    <w:p>
      <w:pPr>
        <w:jc w:val="center"/>
        <w:ind w:right="-1000"/>
        <w:spacing w:after="0"/>
        <w:rPr>
          <w:sz w:val="20"/>
          <w:szCs w:val="20"/>
          <w:color w:val="auto"/>
        </w:rPr>
      </w:pPr>
      <w:r>
        <w:rPr>
          <w:rFonts w:ascii="Times New Roman" w:cs="Times New Roman" w:eastAsia="Times New Roman" w:hAnsi="Times New Roman"/>
          <w:sz w:val="22"/>
          <w:szCs w:val="22"/>
          <w:b w:val="1"/>
          <w:bCs w:val="1"/>
          <w:color w:val="auto"/>
        </w:rPr>
        <w:t>REPORT OF FOREIGN PRIVATE ISSUER</w:t>
      </w:r>
    </w:p>
    <w:p>
      <w:pPr>
        <w:spacing w:after="0" w:line="8" w:lineRule="exact"/>
        <w:rPr>
          <w:sz w:val="24"/>
          <w:szCs w:val="24"/>
          <w:color w:val="auto"/>
        </w:rPr>
      </w:pPr>
    </w:p>
    <w:p>
      <w:pPr>
        <w:jc w:val="center"/>
        <w:ind w:right="-1000"/>
        <w:spacing w:after="0"/>
        <w:rPr>
          <w:sz w:val="20"/>
          <w:szCs w:val="20"/>
          <w:color w:val="auto"/>
        </w:rPr>
      </w:pPr>
      <w:r>
        <w:rPr>
          <w:rFonts w:ascii="Times New Roman" w:cs="Times New Roman" w:eastAsia="Times New Roman" w:hAnsi="Times New Roman"/>
          <w:sz w:val="22"/>
          <w:szCs w:val="22"/>
          <w:b w:val="1"/>
          <w:bCs w:val="1"/>
          <w:color w:val="auto"/>
        </w:rPr>
        <w:t>PURSUANT TO RULE 13a-16 OR 15d-16</w:t>
      </w:r>
    </w:p>
    <w:p>
      <w:pPr>
        <w:jc w:val="center"/>
        <w:ind w:right="-1000"/>
        <w:spacing w:after="0"/>
        <w:rPr>
          <w:sz w:val="20"/>
          <w:szCs w:val="20"/>
          <w:color w:val="auto"/>
        </w:rPr>
      </w:pPr>
      <w:r>
        <w:rPr>
          <w:rFonts w:ascii="Times New Roman" w:cs="Times New Roman" w:eastAsia="Times New Roman" w:hAnsi="Times New Roman"/>
          <w:sz w:val="22"/>
          <w:szCs w:val="22"/>
          <w:b w:val="1"/>
          <w:bCs w:val="1"/>
          <w:color w:val="auto"/>
        </w:rPr>
        <w:t>OF THE SECURITIES EXCHANGE ACT OF 1934</w:t>
      </w:r>
    </w:p>
    <w:p>
      <w:pPr>
        <w:spacing w:after="0" w:line="187" w:lineRule="exact"/>
        <w:rPr>
          <w:sz w:val="24"/>
          <w:szCs w:val="24"/>
          <w:color w:val="auto"/>
        </w:rPr>
      </w:pPr>
    </w:p>
    <w:p>
      <w:pPr>
        <w:jc w:val="center"/>
        <w:ind w:right="-1000"/>
        <w:spacing w:after="0"/>
        <w:rPr>
          <w:sz w:val="20"/>
          <w:szCs w:val="20"/>
          <w:color w:val="auto"/>
        </w:rPr>
      </w:pPr>
      <w:r>
        <w:rPr>
          <w:rFonts w:ascii="Times New Roman" w:cs="Times New Roman" w:eastAsia="Times New Roman" w:hAnsi="Times New Roman"/>
          <w:sz w:val="18"/>
          <w:szCs w:val="18"/>
          <w:b w:val="1"/>
          <w:bCs w:val="1"/>
          <w:color w:val="auto"/>
        </w:rPr>
        <w:t>May 2026</w:t>
      </w:r>
    </w:p>
    <w:p>
      <w:pPr>
        <w:spacing w:after="0" w:line="225" w:lineRule="exact"/>
        <w:rPr>
          <w:sz w:val="24"/>
          <w:szCs w:val="24"/>
          <w:color w:val="auto"/>
        </w:rPr>
      </w:pPr>
    </w:p>
    <w:p>
      <w:pPr>
        <w:ind w:left="4080"/>
        <w:spacing w:after="0"/>
        <w:rPr>
          <w:sz w:val="20"/>
          <w:szCs w:val="20"/>
          <w:color w:val="auto"/>
        </w:rPr>
      </w:pPr>
      <w:r>
        <w:rPr>
          <w:rFonts w:ascii="Times New Roman" w:cs="Times New Roman" w:eastAsia="Times New Roman" w:hAnsi="Times New Roman"/>
          <w:sz w:val="18"/>
          <w:szCs w:val="18"/>
          <w:b w:val="1"/>
          <w:bCs w:val="1"/>
          <w:color w:val="auto"/>
        </w:rPr>
        <w:t>Commission File Number: 001-39466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251460</wp:posOffset>
            </wp:positionV>
            <wp:extent cx="147447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54" w:lineRule="exact"/>
        <w:rPr>
          <w:sz w:val="24"/>
          <w:szCs w:val="24"/>
          <w:color w:val="auto"/>
        </w:rPr>
      </w:pPr>
    </w:p>
    <w:p>
      <w:pPr>
        <w:ind w:left="4240"/>
        <w:spacing w:after="0"/>
        <w:rPr>
          <w:sz w:val="20"/>
          <w:szCs w:val="20"/>
          <w:color w:val="auto"/>
        </w:rPr>
      </w:pPr>
      <w:r>
        <w:rPr>
          <w:rFonts w:ascii="Times New Roman" w:cs="Times New Roman" w:eastAsia="Times New Roman" w:hAnsi="Times New Roman"/>
          <w:sz w:val="43"/>
          <w:szCs w:val="43"/>
          <w:b w:val="1"/>
          <w:bCs w:val="1"/>
          <w:color w:val="auto"/>
        </w:rPr>
        <w:t>XPENG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258445</wp:posOffset>
            </wp:positionV>
            <wp:extent cx="147447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95" w:lineRule="exact"/>
        <w:rPr>
          <w:sz w:val="24"/>
          <w:szCs w:val="24"/>
          <w:color w:val="auto"/>
        </w:rPr>
      </w:pPr>
    </w:p>
    <w:p>
      <w:pPr>
        <w:jc w:val="center"/>
        <w:ind w:right="-1000"/>
        <w:spacing w:after="0"/>
        <w:rPr>
          <w:sz w:val="20"/>
          <w:szCs w:val="20"/>
          <w:color w:val="auto"/>
        </w:rPr>
      </w:pPr>
      <w:r>
        <w:rPr>
          <w:rFonts w:ascii="Times New Roman" w:cs="Times New Roman" w:eastAsia="Times New Roman" w:hAnsi="Times New Roman"/>
          <w:sz w:val="18"/>
          <w:szCs w:val="18"/>
          <w:b w:val="1"/>
          <w:bCs w:val="1"/>
          <w:color w:val="auto"/>
        </w:rPr>
        <w:t>No.10, Cencun Fengzhuang Avenue</w:t>
      </w:r>
    </w:p>
    <w:p>
      <w:pPr>
        <w:spacing w:after="0" w:line="31" w:lineRule="exact"/>
        <w:rPr>
          <w:sz w:val="24"/>
          <w:szCs w:val="24"/>
          <w:color w:val="auto"/>
        </w:rPr>
      </w:pPr>
    </w:p>
    <w:p>
      <w:pPr>
        <w:jc w:val="center"/>
        <w:ind w:right="-1000"/>
        <w:spacing w:after="0"/>
        <w:rPr>
          <w:sz w:val="20"/>
          <w:szCs w:val="20"/>
          <w:color w:val="auto"/>
        </w:rPr>
      </w:pPr>
      <w:r>
        <w:rPr>
          <w:rFonts w:ascii="Times New Roman" w:cs="Times New Roman" w:eastAsia="Times New Roman" w:hAnsi="Times New Roman"/>
          <w:sz w:val="18"/>
          <w:szCs w:val="18"/>
          <w:b w:val="1"/>
          <w:bCs w:val="1"/>
          <w:color w:val="auto"/>
        </w:rPr>
        <w:t>Tianhe District, Guangzhou</w:t>
      </w:r>
    </w:p>
    <w:p>
      <w:pPr>
        <w:spacing w:after="0" w:line="9" w:lineRule="exact"/>
        <w:rPr>
          <w:sz w:val="24"/>
          <w:szCs w:val="24"/>
          <w:color w:val="auto"/>
        </w:rPr>
      </w:pPr>
    </w:p>
    <w:p>
      <w:pPr>
        <w:jc w:val="center"/>
        <w:ind w:right="-1000"/>
        <w:spacing w:after="0"/>
        <w:rPr>
          <w:sz w:val="20"/>
          <w:szCs w:val="20"/>
          <w:color w:val="auto"/>
        </w:rPr>
      </w:pPr>
      <w:r>
        <w:rPr>
          <w:rFonts w:ascii="Times New Roman" w:cs="Times New Roman" w:eastAsia="Times New Roman" w:hAnsi="Times New Roman"/>
          <w:sz w:val="18"/>
          <w:szCs w:val="18"/>
          <w:b w:val="1"/>
          <w:bCs w:val="1"/>
          <w:color w:val="auto"/>
        </w:rPr>
        <w:t>Guangdong 510640</w:t>
      </w:r>
    </w:p>
    <w:p>
      <w:pPr>
        <w:spacing w:after="0" w:line="9" w:lineRule="exact"/>
        <w:rPr>
          <w:sz w:val="24"/>
          <w:szCs w:val="24"/>
          <w:color w:val="auto"/>
        </w:rPr>
      </w:pPr>
    </w:p>
    <w:p>
      <w:pPr>
        <w:jc w:val="center"/>
        <w:ind w:right="-1000"/>
        <w:spacing w:after="0"/>
        <w:rPr>
          <w:sz w:val="20"/>
          <w:szCs w:val="20"/>
          <w:color w:val="auto"/>
        </w:rPr>
      </w:pPr>
      <w:r>
        <w:rPr>
          <w:rFonts w:ascii="Times New Roman" w:cs="Times New Roman" w:eastAsia="Times New Roman" w:hAnsi="Times New Roman"/>
          <w:sz w:val="18"/>
          <w:szCs w:val="18"/>
          <w:b w:val="1"/>
          <w:bCs w:val="1"/>
          <w:color w:val="auto"/>
        </w:rPr>
        <w:t>People’s Republic of China</w:t>
      </w:r>
    </w:p>
    <w:p>
      <w:pPr>
        <w:spacing w:after="0" w:line="2" w:lineRule="exact"/>
        <w:rPr>
          <w:sz w:val="24"/>
          <w:szCs w:val="24"/>
          <w:color w:val="auto"/>
        </w:rPr>
      </w:pPr>
    </w:p>
    <w:p>
      <w:pPr>
        <w:ind w:left="4320"/>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219075</wp:posOffset>
            </wp:positionV>
            <wp:extent cx="147447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4"/>
          <w:szCs w:val="24"/>
          <w:color w:val="auto"/>
        </w:rPr>
      </w:pPr>
    </w:p>
    <w:p>
      <w:pPr>
        <w:spacing w:after="0" w:line="336"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Indicate by check mark whether the registrant files or will file annual reports under cover Form 20-F or Form 40-F.</w:t>
      </w:r>
    </w:p>
    <w:p>
      <w:pPr>
        <w:spacing w:after="0" w:line="184" w:lineRule="exact"/>
        <w:rPr>
          <w:sz w:val="24"/>
          <w:szCs w:val="24"/>
          <w:color w:val="auto"/>
        </w:rPr>
      </w:pPr>
    </w:p>
    <w:p>
      <w:pPr>
        <w:ind w:left="4060"/>
        <w:spacing w:after="0" w:line="207" w:lineRule="exact"/>
        <w:rPr>
          <w:sz w:val="20"/>
          <w:szCs w:val="20"/>
          <w:color w:val="auto"/>
        </w:rPr>
      </w:pPr>
      <w:r>
        <w:rPr>
          <w:rFonts w:ascii="Times New Roman" w:cs="Times New Roman" w:eastAsia="Times New Roman" w:hAnsi="Times New Roman"/>
          <w:sz w:val="18"/>
          <w:szCs w:val="18"/>
          <w:color w:val="auto"/>
        </w:rPr>
        <w:t xml:space="preserve">Form 20-F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Form 40-F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-1905</wp:posOffset>
            </wp:positionH>
            <wp:positionV relativeFrom="paragraph">
              <wp:posOffset>214630</wp:posOffset>
            </wp:positionV>
            <wp:extent cx="699516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257810</wp:posOffset>
            </wp:positionV>
            <wp:extent cx="699516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ectPr>
          <w:pgSz w:w="11900" w:h="16838" w:orient="portrait"/>
          <w:cols w:equalWidth="0" w:num="1">
            <w:col w:w="10019"/>
          </w:cols>
          <w:pgMar w:left="440" w:top="376" w:right="1440" w:bottom="1440" w:gutter="0" w:footer="0" w:header="0"/>
        </w:sectPr>
      </w:pPr>
    </w:p>
    <w:bookmarkStart w:id="1" w:name="page2"/>
    <w:bookmarkEnd w:id="1"/>
    <w:p>
      <w:pPr>
        <w:ind w:left="4540"/>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256" w:lineRule="exact"/>
        <w:rPr>
          <w:sz w:val="20"/>
          <w:szCs w:val="20"/>
          <w:color w:val="auto"/>
        </w:rPr>
      </w:pPr>
    </w:p>
    <w:p>
      <w:pPr>
        <w:spacing w:after="0"/>
        <w:tabs>
          <w:tab w:leader="none" w:pos="1300" w:val="left"/>
        </w:tabs>
        <w:rPr>
          <w:sz w:val="20"/>
          <w:szCs w:val="20"/>
          <w:color w:val="auto"/>
        </w:rPr>
      </w:pPr>
      <w:r>
        <w:rPr>
          <w:rFonts w:ascii="Times New Roman" w:cs="Times New Roman" w:eastAsia="Times New Roman" w:hAnsi="Times New Roman"/>
          <w:sz w:val="18"/>
          <w:szCs w:val="18"/>
          <w:color w:val="auto"/>
        </w:rPr>
        <w:t>Exhibit 99.1</w:t>
      </w:r>
      <w:r>
        <w:rPr>
          <w:sz w:val="20"/>
          <w:szCs w:val="20"/>
          <w:color w:val="auto"/>
        </w:rPr>
        <w:tab/>
      </w:r>
      <w:r>
        <w:rPr>
          <w:rFonts w:ascii="Times New Roman" w:cs="Times New Roman" w:eastAsia="Times New Roman" w:hAnsi="Times New Roman"/>
          <w:sz w:val="17"/>
          <w:szCs w:val="17"/>
          <w:u w:val="single" w:color="auto"/>
          <w:color w:val="0000EE"/>
        </w:rPr>
        <w:t>Press Release: XPENG Reports First Quarter 2026 Unaudited Financial Results</w:t>
      </w:r>
    </w:p>
    <w:p>
      <w:pPr>
        <w:sectPr>
          <w:pgSz w:w="11900" w:h="16838" w:orient="portrait"/>
          <w:cols w:equalWidth="0" w:num="1">
            <w:col w:w="10019"/>
          </w:cols>
          <w:pgMar w:left="440" w:top="266" w:right="1440"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SIGNATURE</w:t>
      </w:r>
    </w:p>
    <w:p>
      <w:pPr>
        <w:spacing w:after="0" w:line="229" w:lineRule="exact"/>
        <w:rPr>
          <w:sz w:val="20"/>
          <w:szCs w:val="20"/>
          <w:color w:val="auto"/>
        </w:rPr>
      </w:pPr>
    </w:p>
    <w:p>
      <w:pPr>
        <w:ind w:right="320" w:firstLine="440"/>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89"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XPENG INC.</w:t>
      </w:r>
    </w:p>
    <w:p>
      <w:pPr>
        <w:spacing w:after="0" w:line="225" w:lineRule="exact"/>
        <w:rPr>
          <w:sz w:val="20"/>
          <w:szCs w:val="20"/>
          <w:color w:val="auto"/>
        </w:rPr>
      </w:pPr>
    </w:p>
    <w:tbl>
      <w:tblPr>
        <w:tblLayout w:type="fixed"/>
        <w:tblInd w:w="6620" w:type="dxa"/>
        <w:tblCellMar>
          <w:top w:w="0" w:type="dxa"/>
          <w:left w:w="0" w:type="dxa"/>
          <w:bottom w:w="0" w:type="dxa"/>
          <w:right w:w="0" w:type="dxa"/>
        </w:tblCellMar>
      </w:tblPr>
      <w:tr>
        <w:trPr>
          <w:trHeight w:val="234"/>
        </w:trPr>
        <w:tc>
          <w:tcPr>
            <w:tcW w:w="60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380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/s/ Xiaopeng He</w:t>
            </w:r>
          </w:p>
        </w:tc>
      </w:tr>
      <w:tr>
        <w:trPr>
          <w:trHeight w:val="191"/>
        </w:trPr>
        <w:tc>
          <w:tcPr>
            <w:tcW w:w="60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Name:</w:t>
            </w:r>
          </w:p>
        </w:tc>
        <w:tc>
          <w:tcPr>
            <w:tcW w:w="3800" w:type="dxa"/>
            <w:vAlign w:val="bottom"/>
          </w:tcPr>
          <w:p>
            <w:pPr>
              <w:ind w:left="60"/>
              <w:spacing w:after="0" w:line="191" w:lineRule="exact"/>
              <w:rPr>
                <w:sz w:val="20"/>
                <w:szCs w:val="20"/>
                <w:color w:val="auto"/>
              </w:rPr>
            </w:pPr>
            <w:r>
              <w:rPr>
                <w:rFonts w:ascii="Times New Roman" w:cs="Times New Roman" w:eastAsia="Times New Roman" w:hAnsi="Times New Roman"/>
                <w:sz w:val="18"/>
                <w:szCs w:val="18"/>
                <w:color w:val="auto"/>
              </w:rPr>
              <w:t>Xiaopeng He</w:t>
            </w:r>
          </w:p>
        </w:tc>
      </w:tr>
      <w:tr>
        <w:trPr>
          <w:trHeight w:val="234"/>
        </w:trPr>
        <w:tc>
          <w:tcPr>
            <w:tcW w:w="60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38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Chairman and Chief Executive Officer</w:t>
            </w: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May 28, 2026</w:t>
      </w:r>
    </w:p>
    <w:p>
      <w:pPr>
        <w:sectPr>
          <w:pgSz w:w="11900" w:h="16838" w:orient="portrait"/>
          <w:cols w:equalWidth="0" w:num="1">
            <w:col w:w="11020"/>
          </w:cols>
          <w:pgMar w:left="440" w:top="266" w:right="439" w:bottom="1440" w:gutter="0" w:footer="0" w:header="0"/>
        </w:sectPr>
      </w:pPr>
    </w:p>
    <w:bookmarkStart w:id="3" w:name="page4"/>
    <w:bookmarkEnd w:id="3"/>
    <w:p>
      <w:pPr>
        <w:jc w:val="right"/>
        <w:spacing w:after="0"/>
        <w:rPr>
          <w:sz w:val="20"/>
          <w:szCs w:val="20"/>
          <w:color w:val="auto"/>
        </w:rPr>
      </w:pPr>
      <w:r>
        <w:rPr>
          <w:rFonts w:ascii="Times New Roman" w:cs="Times New Roman" w:eastAsia="Times New Roman" w:hAnsi="Times New Roman"/>
          <w:sz w:val="18"/>
          <w:szCs w:val="18"/>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173990</wp:posOffset>
            </wp:positionV>
            <wp:extent cx="1036955" cy="12001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036955" cy="1200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XPENG Reports First Quarter 2026 Unaudited Financial Results</w:t>
      </w:r>
    </w:p>
    <w:p>
      <w:pPr>
        <w:spacing w:after="0" w:line="254" w:lineRule="exact"/>
        <w:rPr>
          <w:sz w:val="20"/>
          <w:szCs w:val="20"/>
          <w:color w:val="auto"/>
        </w:rPr>
      </w:pPr>
    </w:p>
    <w:p>
      <w:pPr>
        <w:ind w:left="960" w:hanging="424"/>
        <w:spacing w:after="0"/>
        <w:tabs>
          <w:tab w:leader="none" w:pos="9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Cash position</w:t>
      </w:r>
      <w:r>
        <w:rPr>
          <w:rFonts w:ascii="Times New Roman" w:cs="Times New Roman" w:eastAsia="Times New Roman" w:hAnsi="Times New Roman"/>
          <w:sz w:val="26"/>
          <w:szCs w:val="26"/>
          <w:color w:val="auto"/>
          <w:vertAlign w:val="superscript"/>
        </w:rPr>
        <w:t>i</w:t>
      </w:r>
      <w:r>
        <w:rPr>
          <w:rFonts w:ascii="Times New Roman" w:cs="Times New Roman" w:eastAsia="Times New Roman" w:hAnsi="Times New Roman"/>
          <w:sz w:val="18"/>
          <w:szCs w:val="18"/>
          <w:i w:val="1"/>
          <w:iCs w:val="1"/>
          <w:color w:val="auto"/>
        </w:rPr>
        <w:t xml:space="preserve"> was RMB42.09 billion (US$6.10 billion) as of March 31, 2026</w:t>
      </w:r>
    </w:p>
    <w:p>
      <w:pPr>
        <w:spacing w:after="0" w:line="60" w:lineRule="exact"/>
        <w:rPr>
          <w:rFonts w:ascii="Times New Roman" w:cs="Times New Roman" w:eastAsia="Times New Roman" w:hAnsi="Times New Roman"/>
          <w:sz w:val="18"/>
          <w:szCs w:val="18"/>
          <w:color w:val="auto"/>
        </w:rPr>
      </w:pPr>
    </w:p>
    <w:p>
      <w:pPr>
        <w:ind w:left="960" w:hanging="424"/>
        <w:spacing w:after="0"/>
        <w:tabs>
          <w:tab w:leader="none" w:pos="9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Quarterly total revenues were RMB13.03 billion, a 17.6% decrease year-over-year</w:t>
      </w:r>
    </w:p>
    <w:p>
      <w:pPr>
        <w:spacing w:after="0" w:line="108" w:lineRule="exact"/>
        <w:rPr>
          <w:rFonts w:ascii="Times New Roman" w:cs="Times New Roman" w:eastAsia="Times New Roman" w:hAnsi="Times New Roman"/>
          <w:sz w:val="18"/>
          <w:szCs w:val="18"/>
          <w:color w:val="auto"/>
        </w:rPr>
      </w:pPr>
    </w:p>
    <w:p>
      <w:pPr>
        <w:ind w:left="960" w:hanging="424"/>
        <w:spacing w:after="0"/>
        <w:tabs>
          <w:tab w:leader="none" w:pos="9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Quarterly gross margin was 20.6%, an increase of 5.0 percentage points over the same period of 2025</w:t>
      </w:r>
    </w:p>
    <w:p>
      <w:pPr>
        <w:spacing w:after="0" w:line="130" w:lineRule="exact"/>
        <w:rPr>
          <w:rFonts w:ascii="Times New Roman" w:cs="Times New Roman" w:eastAsia="Times New Roman" w:hAnsi="Times New Roman"/>
          <w:sz w:val="18"/>
          <w:szCs w:val="18"/>
          <w:color w:val="auto"/>
        </w:rPr>
      </w:pPr>
    </w:p>
    <w:p>
      <w:pPr>
        <w:ind w:left="960" w:hanging="424"/>
        <w:spacing w:after="0"/>
        <w:tabs>
          <w:tab w:leader="none" w:pos="9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Quarterly vehicle margin was 12.1%, an increase of 1.6 percentage points over the same period of 2025</w:t>
      </w:r>
    </w:p>
    <w:p>
      <w:pPr>
        <w:spacing w:after="0" w:line="223" w:lineRule="exact"/>
        <w:rPr>
          <w:sz w:val="20"/>
          <w:szCs w:val="20"/>
          <w:color w:val="auto"/>
        </w:rPr>
      </w:pPr>
    </w:p>
    <w:p>
      <w:pPr>
        <w:ind w:right="260"/>
        <w:spacing w:after="0" w:line="286" w:lineRule="auto"/>
        <w:rPr>
          <w:sz w:val="20"/>
          <w:szCs w:val="20"/>
          <w:color w:val="auto"/>
        </w:rPr>
      </w:pPr>
      <w:r>
        <w:rPr>
          <w:rFonts w:ascii="Times New Roman" w:cs="Times New Roman" w:eastAsia="Times New Roman" w:hAnsi="Times New Roman"/>
          <w:sz w:val="18"/>
          <w:szCs w:val="18"/>
          <w:b w:val="1"/>
          <w:bCs w:val="1"/>
          <w:color w:val="auto"/>
        </w:rPr>
        <w:t>GUANGZHOU</w:t>
      </w:r>
      <w:r>
        <w:rPr>
          <w:rFonts w:ascii="Times New Roman" w:cs="Times New Roman" w:eastAsia="Times New Roman" w:hAnsi="Times New Roman"/>
          <w:sz w:val="18"/>
          <w:szCs w:val="18"/>
          <w:color w:val="auto"/>
        </w:rPr>
        <w:t>, China, May 28, 2026 —XPeng Inc. (“</w:t>
      </w:r>
      <w:r>
        <w:rPr>
          <w:rFonts w:ascii="Times New Roman" w:cs="Times New Roman" w:eastAsia="Times New Roman" w:hAnsi="Times New Roman"/>
          <w:sz w:val="18"/>
          <w:szCs w:val="18"/>
          <w:b w:val="1"/>
          <w:bCs w:val="1"/>
          <w:color w:val="auto"/>
        </w:rPr>
        <w:t>XPENG</w:t>
      </w:r>
      <w:r>
        <w:rPr>
          <w:rFonts w:ascii="Times New Roman" w:cs="Times New Roman" w:eastAsia="Times New Roman" w:hAnsi="Times New Roman"/>
          <w:sz w:val="18"/>
          <w:szCs w:val="18"/>
          <w:color w:val="auto"/>
        </w:rPr>
        <w:t>” or the “</w:t>
      </w:r>
      <w:r>
        <w:rPr>
          <w:rFonts w:ascii="Times New Roman" w:cs="Times New Roman" w:eastAsia="Times New Roman" w:hAnsi="Times New Roman"/>
          <w:sz w:val="18"/>
          <w:szCs w:val="18"/>
          <w:b w:val="1"/>
          <w:bCs w:val="1"/>
          <w:color w:val="auto"/>
        </w:rPr>
        <w:t>Company</w:t>
      </w:r>
      <w:r>
        <w:rPr>
          <w:rFonts w:ascii="Times New Roman" w:cs="Times New Roman" w:eastAsia="Times New Roman" w:hAnsi="Times New Roman"/>
          <w:sz w:val="18"/>
          <w:szCs w:val="18"/>
          <w:color w:val="auto"/>
        </w:rPr>
        <w:t>,” NYSE: XPEV and HKEX: 9868), a leading global AI mobility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technology company, today announced its unaudited financial results for the three months ended March 31, 2026.</w:t>
      </w:r>
    </w:p>
    <w:p>
      <w:pPr>
        <w:spacing w:after="0" w:line="2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Operational and Financial Highlights for the Three Months Ended March 31, 2026</w:t>
      </w:r>
    </w:p>
    <w:p>
      <w:pPr>
        <w:spacing w:after="0" w:line="250"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3880" w:type="dxa"/>
            <w:vAlign w:val="bottom"/>
          </w:tcPr>
          <w:p>
            <w:pPr>
              <w:spacing w:after="0"/>
              <w:rPr>
                <w:sz w:val="15"/>
                <w:szCs w:val="15"/>
                <w:color w:val="auto"/>
              </w:rPr>
            </w:pPr>
          </w:p>
        </w:tc>
        <w:tc>
          <w:tcPr>
            <w:tcW w:w="3360" w:type="dxa"/>
            <w:vAlign w:val="bottom"/>
          </w:tcPr>
          <w:p>
            <w:pPr>
              <w:ind w:left="2740"/>
              <w:spacing w:after="0"/>
              <w:rPr>
                <w:sz w:val="20"/>
                <w:szCs w:val="20"/>
                <w:color w:val="auto"/>
              </w:rPr>
            </w:pPr>
            <w:r>
              <w:rPr>
                <w:rFonts w:ascii="Times New Roman" w:cs="Times New Roman" w:eastAsia="Times New Roman" w:hAnsi="Times New Roman"/>
                <w:sz w:val="14"/>
                <w:szCs w:val="14"/>
                <w:b w:val="1"/>
                <w:bCs w:val="1"/>
                <w:color w:val="auto"/>
              </w:rPr>
              <w:t>2026Q1</w:t>
            </w:r>
          </w:p>
        </w:tc>
        <w:tc>
          <w:tcPr>
            <w:tcW w:w="780" w:type="dxa"/>
            <w:vAlign w:val="bottom"/>
          </w:tcPr>
          <w:p>
            <w:pPr>
              <w:jc w:val="right"/>
              <w:ind w:right="99"/>
              <w:spacing w:after="0"/>
              <w:rPr>
                <w:sz w:val="20"/>
                <w:szCs w:val="20"/>
                <w:color w:val="auto"/>
              </w:rPr>
            </w:pPr>
            <w:r>
              <w:rPr>
                <w:rFonts w:ascii="Times New Roman" w:cs="Times New Roman" w:eastAsia="Times New Roman" w:hAnsi="Times New Roman"/>
                <w:sz w:val="14"/>
                <w:szCs w:val="14"/>
                <w:b w:val="1"/>
                <w:bCs w:val="1"/>
                <w:color w:val="auto"/>
              </w:rPr>
              <w:t>2025Q4</w:t>
            </w:r>
          </w:p>
        </w:tc>
        <w:tc>
          <w:tcPr>
            <w:tcW w:w="800" w:type="dxa"/>
            <w:vAlign w:val="bottom"/>
          </w:tcPr>
          <w:p>
            <w:pPr>
              <w:jc w:val="right"/>
              <w:ind w:right="99"/>
              <w:spacing w:after="0"/>
              <w:rPr>
                <w:sz w:val="20"/>
                <w:szCs w:val="20"/>
                <w:color w:val="auto"/>
              </w:rPr>
            </w:pPr>
            <w:r>
              <w:rPr>
                <w:rFonts w:ascii="Times New Roman" w:cs="Times New Roman" w:eastAsia="Times New Roman" w:hAnsi="Times New Roman"/>
                <w:sz w:val="14"/>
                <w:szCs w:val="14"/>
                <w:b w:val="1"/>
                <w:bCs w:val="1"/>
                <w:color w:val="auto"/>
              </w:rPr>
              <w:t>2025Q3</w:t>
            </w:r>
          </w:p>
        </w:tc>
        <w:tc>
          <w:tcPr>
            <w:tcW w:w="800" w:type="dxa"/>
            <w:vAlign w:val="bottom"/>
          </w:tcPr>
          <w:p>
            <w:pPr>
              <w:jc w:val="right"/>
              <w:ind w:right="99"/>
              <w:spacing w:after="0"/>
              <w:rPr>
                <w:sz w:val="20"/>
                <w:szCs w:val="20"/>
                <w:color w:val="auto"/>
              </w:rPr>
            </w:pPr>
            <w:r>
              <w:rPr>
                <w:rFonts w:ascii="Times New Roman" w:cs="Times New Roman" w:eastAsia="Times New Roman" w:hAnsi="Times New Roman"/>
                <w:sz w:val="14"/>
                <w:szCs w:val="14"/>
                <w:b w:val="1"/>
                <w:bCs w:val="1"/>
                <w:color w:val="auto"/>
              </w:rPr>
              <w:t>2025Q2</w:t>
            </w:r>
          </w:p>
        </w:tc>
        <w:tc>
          <w:tcPr>
            <w:tcW w:w="720" w:type="dxa"/>
            <w:vAlign w:val="bottom"/>
          </w:tcPr>
          <w:p>
            <w:pPr>
              <w:ind w:left="120"/>
              <w:spacing w:after="0"/>
              <w:rPr>
                <w:sz w:val="20"/>
                <w:szCs w:val="20"/>
                <w:color w:val="auto"/>
              </w:rPr>
            </w:pPr>
            <w:r>
              <w:rPr>
                <w:rFonts w:ascii="Times New Roman" w:cs="Times New Roman" w:eastAsia="Times New Roman" w:hAnsi="Times New Roman"/>
                <w:sz w:val="14"/>
                <w:szCs w:val="14"/>
                <w:b w:val="1"/>
                <w:bCs w:val="1"/>
                <w:color w:val="auto"/>
              </w:rPr>
              <w:t>2025Q1</w:t>
            </w:r>
          </w:p>
        </w:tc>
        <w:tc>
          <w:tcPr>
            <w:tcW w:w="680" w:type="dxa"/>
            <w:vAlign w:val="bottom"/>
          </w:tcPr>
          <w:p>
            <w:pPr>
              <w:ind w:left="100"/>
              <w:spacing w:after="0"/>
              <w:rPr>
                <w:sz w:val="20"/>
                <w:szCs w:val="20"/>
                <w:color w:val="auto"/>
              </w:rPr>
            </w:pPr>
            <w:r>
              <w:rPr>
                <w:rFonts w:ascii="Times New Roman" w:cs="Times New Roman" w:eastAsia="Times New Roman" w:hAnsi="Times New Roman"/>
                <w:sz w:val="14"/>
                <w:szCs w:val="14"/>
                <w:b w:val="1"/>
                <w:bCs w:val="1"/>
                <w:color w:val="auto"/>
              </w:rPr>
              <w:t>2024Q4</w:t>
            </w:r>
          </w:p>
        </w:tc>
      </w:tr>
      <w:tr>
        <w:trPr>
          <w:trHeight w:val="216"/>
        </w:trPr>
        <w:tc>
          <w:tcPr>
            <w:tcW w:w="38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deliveries</w:t>
            </w:r>
          </w:p>
        </w:tc>
        <w:tc>
          <w:tcPr>
            <w:tcW w:w="3360" w:type="dxa"/>
            <w:vAlign w:val="bottom"/>
            <w:shd w:val="clear" w:color="auto" w:fill="CCEEFF"/>
          </w:tcPr>
          <w:p>
            <w:pPr>
              <w:ind w:left="2740"/>
              <w:spacing w:after="0"/>
              <w:rPr>
                <w:sz w:val="20"/>
                <w:szCs w:val="20"/>
                <w:color w:val="auto"/>
              </w:rPr>
            </w:pPr>
            <w:r>
              <w:rPr>
                <w:rFonts w:ascii="Times New Roman" w:cs="Times New Roman" w:eastAsia="Times New Roman" w:hAnsi="Times New Roman"/>
                <w:sz w:val="18"/>
                <w:szCs w:val="18"/>
                <w:color w:val="auto"/>
              </w:rPr>
              <w:t>62,682</w:t>
            </w:r>
          </w:p>
        </w:tc>
        <w:tc>
          <w:tcPr>
            <w:tcW w:w="78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8"/>
                <w:szCs w:val="18"/>
                <w:color w:val="auto"/>
              </w:rPr>
              <w:t>116,249</w:t>
            </w:r>
          </w:p>
        </w:tc>
        <w:tc>
          <w:tcPr>
            <w:tcW w:w="80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8"/>
                <w:szCs w:val="18"/>
                <w:color w:val="auto"/>
              </w:rPr>
              <w:t>116,007</w:t>
            </w:r>
          </w:p>
        </w:tc>
        <w:tc>
          <w:tcPr>
            <w:tcW w:w="80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8"/>
                <w:szCs w:val="18"/>
                <w:color w:val="auto"/>
              </w:rPr>
              <w:t>103,181</w:t>
            </w:r>
          </w:p>
        </w:tc>
        <w:tc>
          <w:tcPr>
            <w:tcW w:w="7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94,008</w:t>
            </w:r>
          </w:p>
        </w:tc>
        <w:tc>
          <w:tcPr>
            <w:tcW w:w="6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91,507</w:t>
            </w:r>
          </w:p>
        </w:tc>
      </w:tr>
    </w:tbl>
    <w:p>
      <w:pPr>
        <w:spacing w:after="0" w:line="221" w:lineRule="exact"/>
        <w:rPr>
          <w:sz w:val="20"/>
          <w:szCs w:val="20"/>
          <w:color w:val="auto"/>
        </w:rPr>
      </w:pPr>
    </w:p>
    <w:p>
      <w:pPr>
        <w:ind w:left="420" w:right="20" w:hanging="316"/>
        <w:spacing w:after="0" w:line="286" w:lineRule="auto"/>
        <w:tabs>
          <w:tab w:leader="none" w:pos="420" w:val="left"/>
        </w:tabs>
        <w:numPr>
          <w:ilvl w:val="1"/>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Total deliveries of vehicles </w:t>
      </w:r>
      <w:r>
        <w:rPr>
          <w:rFonts w:ascii="Times New Roman" w:cs="Times New Roman" w:eastAsia="Times New Roman" w:hAnsi="Times New Roman"/>
          <w:sz w:val="18"/>
          <w:szCs w:val="18"/>
          <w:color w:val="auto"/>
        </w:rPr>
        <w:t>were 62,682 for the first quarter of 2026, representing a decrease of 33.3% from 94,008 in the corresponding period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2025.</w:t>
      </w:r>
    </w:p>
    <w:p>
      <w:pPr>
        <w:spacing w:after="0" w:line="60" w:lineRule="exact"/>
        <w:rPr>
          <w:rFonts w:ascii="Times New Roman" w:cs="Times New Roman" w:eastAsia="Times New Roman" w:hAnsi="Times New Roman"/>
          <w:sz w:val="18"/>
          <w:szCs w:val="18"/>
          <w:color w:val="auto"/>
        </w:rPr>
      </w:pPr>
    </w:p>
    <w:p>
      <w:pPr>
        <w:ind w:left="420" w:hanging="316"/>
        <w:spacing w:after="0"/>
        <w:tabs>
          <w:tab w:leader="none" w:pos="420" w:val="left"/>
        </w:tabs>
        <w:numPr>
          <w:ilvl w:val="1"/>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XPENG’s physical sales network </w:t>
      </w:r>
      <w:r>
        <w:rPr>
          <w:rFonts w:ascii="Times New Roman" w:cs="Times New Roman" w:eastAsia="Times New Roman" w:hAnsi="Times New Roman"/>
          <w:sz w:val="18"/>
          <w:szCs w:val="18"/>
          <w:color w:val="auto"/>
        </w:rPr>
        <w:t>had a total of 733 stores, covering 256 cities as of March 31, 2026.</w:t>
      </w:r>
    </w:p>
    <w:p>
      <w:pPr>
        <w:spacing w:after="0" w:line="130" w:lineRule="exact"/>
        <w:rPr>
          <w:rFonts w:ascii="Times New Roman" w:cs="Times New Roman" w:eastAsia="Times New Roman" w:hAnsi="Times New Roman"/>
          <w:sz w:val="18"/>
          <w:szCs w:val="18"/>
          <w:color w:val="auto"/>
        </w:rPr>
      </w:pPr>
    </w:p>
    <w:p>
      <w:pPr>
        <w:ind w:left="420" w:right="300" w:hanging="316"/>
        <w:spacing w:after="0" w:line="286" w:lineRule="auto"/>
        <w:tabs>
          <w:tab w:leader="none" w:pos="420" w:val="left"/>
        </w:tabs>
        <w:numPr>
          <w:ilvl w:val="1"/>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XPENG self-operated charging station network </w:t>
      </w:r>
      <w:r>
        <w:rPr>
          <w:rFonts w:ascii="Times New Roman" w:cs="Times New Roman" w:eastAsia="Times New Roman" w:hAnsi="Times New Roman"/>
          <w:sz w:val="18"/>
          <w:szCs w:val="18"/>
          <w:color w:val="auto"/>
        </w:rPr>
        <w:t>reached 3,455 stations, including 2,398 XPENG ultra-fast charging stations as of March 31,</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2026.</w:t>
      </w:r>
    </w:p>
    <w:p>
      <w:pPr>
        <w:spacing w:after="0" w:line="60" w:lineRule="exact"/>
        <w:rPr>
          <w:rFonts w:ascii="Times New Roman" w:cs="Times New Roman" w:eastAsia="Times New Roman" w:hAnsi="Times New Roman"/>
          <w:sz w:val="18"/>
          <w:szCs w:val="18"/>
          <w:color w:val="auto"/>
        </w:rPr>
      </w:pPr>
    </w:p>
    <w:p>
      <w:pPr>
        <w:ind w:left="420" w:right="140" w:hanging="316"/>
        <w:spacing w:after="0" w:line="286" w:lineRule="auto"/>
        <w:tabs>
          <w:tab w:leader="none" w:pos="420" w:val="left"/>
        </w:tabs>
        <w:numPr>
          <w:ilvl w:val="1"/>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Total revenues </w:t>
      </w:r>
      <w:r>
        <w:rPr>
          <w:rFonts w:ascii="Times New Roman" w:cs="Times New Roman" w:eastAsia="Times New Roman" w:hAnsi="Times New Roman"/>
          <w:sz w:val="18"/>
          <w:szCs w:val="18"/>
          <w:color w:val="auto"/>
        </w:rPr>
        <w:t>were RMB13.03 billion (US$1.89 billion) for the first quarter of 2026, representing a decrease of 17.6% from the same period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2025, and a decrease of 41.4% from the fourth quarter of 2025.</w:t>
      </w:r>
    </w:p>
    <w:p>
      <w:pPr>
        <w:spacing w:after="0" w:line="60" w:lineRule="exact"/>
        <w:rPr>
          <w:rFonts w:ascii="Times New Roman" w:cs="Times New Roman" w:eastAsia="Times New Roman" w:hAnsi="Times New Roman"/>
          <w:sz w:val="18"/>
          <w:szCs w:val="18"/>
          <w:color w:val="auto"/>
        </w:rPr>
      </w:pPr>
    </w:p>
    <w:p>
      <w:pPr>
        <w:ind w:left="420" w:right="260" w:hanging="316"/>
        <w:spacing w:after="0" w:line="286" w:lineRule="auto"/>
        <w:tabs>
          <w:tab w:leader="none" w:pos="420" w:val="left"/>
        </w:tabs>
        <w:numPr>
          <w:ilvl w:val="1"/>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Revenues from vehicle sales </w:t>
      </w:r>
      <w:r>
        <w:rPr>
          <w:rFonts w:ascii="Times New Roman" w:cs="Times New Roman" w:eastAsia="Times New Roman" w:hAnsi="Times New Roman"/>
          <w:sz w:val="18"/>
          <w:szCs w:val="18"/>
          <w:color w:val="auto"/>
        </w:rPr>
        <w:t>were RMB11.00 billion (US$1.59 billion) for the first quarter of 2026, representing a decrease of 23.5% from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same period of 2025, and a decrease of 42.3% from the fourth quarter of 2025.</w:t>
      </w:r>
    </w:p>
    <w:p>
      <w:pPr>
        <w:spacing w:after="0" w:line="60" w:lineRule="exact"/>
        <w:rPr>
          <w:rFonts w:ascii="Times New Roman" w:cs="Times New Roman" w:eastAsia="Times New Roman" w:hAnsi="Times New Roman"/>
          <w:sz w:val="18"/>
          <w:szCs w:val="18"/>
          <w:color w:val="auto"/>
        </w:rPr>
      </w:pPr>
    </w:p>
    <w:p>
      <w:pPr>
        <w:ind w:left="420" w:right="420" w:hanging="316"/>
        <w:spacing w:after="0" w:line="286" w:lineRule="auto"/>
        <w:tabs>
          <w:tab w:leader="none" w:pos="420" w:val="left"/>
        </w:tabs>
        <w:numPr>
          <w:ilvl w:val="1"/>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Gross margin </w:t>
      </w:r>
      <w:r>
        <w:rPr>
          <w:rFonts w:ascii="Times New Roman" w:cs="Times New Roman" w:eastAsia="Times New Roman" w:hAnsi="Times New Roman"/>
          <w:sz w:val="18"/>
          <w:szCs w:val="18"/>
          <w:color w:val="auto"/>
        </w:rPr>
        <w:t>was 20.6% for the first quarter of 2026, compared with 15.6% for the same period of 2025 and 21.3% for the fourth quarter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2025.</w:t>
      </w:r>
    </w:p>
    <w:p>
      <w:pPr>
        <w:spacing w:after="0" w:line="60" w:lineRule="exact"/>
        <w:rPr>
          <w:rFonts w:ascii="Times New Roman" w:cs="Times New Roman" w:eastAsia="Times New Roman" w:hAnsi="Times New Roman"/>
          <w:sz w:val="18"/>
          <w:szCs w:val="18"/>
          <w:color w:val="auto"/>
        </w:rPr>
      </w:pPr>
    </w:p>
    <w:p>
      <w:pPr>
        <w:ind w:left="420" w:right="120" w:hanging="316"/>
        <w:spacing w:after="0" w:line="286" w:lineRule="auto"/>
        <w:tabs>
          <w:tab w:leader="none" w:pos="420" w:val="left"/>
        </w:tabs>
        <w:numPr>
          <w:ilvl w:val="1"/>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Vehicle margin</w:t>
      </w:r>
      <w:r>
        <w:rPr>
          <w:rFonts w:ascii="Times New Roman" w:cs="Times New Roman" w:eastAsia="Times New Roman" w:hAnsi="Times New Roman"/>
          <w:sz w:val="18"/>
          <w:szCs w:val="18"/>
          <w:color w:val="auto"/>
        </w:rPr>
        <w:t>, which is gross profit of vehicle sales as a percentage of vehicle sales revenue, was 12.1% for the first quarter of 2026, compared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with 10.5% for the same period of 2025 and 13.0% for the fourth quarter of 2025.</w:t>
      </w:r>
    </w:p>
    <w:p>
      <w:pPr>
        <w:spacing w:after="0" w:line="60" w:lineRule="exact"/>
        <w:rPr>
          <w:rFonts w:ascii="Times New Roman" w:cs="Times New Roman" w:eastAsia="Times New Roman" w:hAnsi="Times New Roman"/>
          <w:sz w:val="18"/>
          <w:szCs w:val="18"/>
          <w:color w:val="auto"/>
        </w:rPr>
      </w:pPr>
    </w:p>
    <w:p>
      <w:pPr>
        <w:ind w:left="420" w:right="200" w:hanging="316"/>
        <w:spacing w:after="0" w:line="262" w:lineRule="auto"/>
        <w:tabs>
          <w:tab w:leader="none" w:pos="420" w:val="left"/>
        </w:tabs>
        <w:numPr>
          <w:ilvl w:val="1"/>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Net loss </w:t>
      </w:r>
      <w:r>
        <w:rPr>
          <w:rFonts w:ascii="Times New Roman" w:cs="Times New Roman" w:eastAsia="Times New Roman" w:hAnsi="Times New Roman"/>
          <w:sz w:val="18"/>
          <w:szCs w:val="18"/>
          <w:color w:val="auto"/>
        </w:rPr>
        <w:t>was RMB1.78 billion (US$0.26 billion) for the first quarter of 2026, compared with a loss of RMB0.66 billion for the same period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2025 and a profit of RMB0.38 billion for the fourth quarter of 2025. Excluding share-based compensation expenses and fair value loss (gain) on derivative liability relating to the contingent consideration, </w:t>
      </w:r>
      <w:r>
        <w:rPr>
          <w:rFonts w:ascii="Times New Roman" w:cs="Times New Roman" w:eastAsia="Times New Roman" w:hAnsi="Times New Roman"/>
          <w:sz w:val="18"/>
          <w:szCs w:val="18"/>
          <w:b w:val="1"/>
          <w:bCs w:val="1"/>
          <w:color w:val="auto"/>
        </w:rPr>
        <w:t>non-GAAP net loss</w:t>
      </w:r>
      <w:r>
        <w:rPr>
          <w:rFonts w:ascii="Times New Roman" w:cs="Times New Roman" w:eastAsia="Times New Roman" w:hAnsi="Times New Roman"/>
          <w:sz w:val="18"/>
          <w:szCs w:val="18"/>
          <w:color w:val="auto"/>
        </w:rPr>
        <w:t xml:space="preserve"> was RMB1.69 billion (US$0.24 billion) for the first quarter of 2026, compared with a loss of RMB0.43 billion for the same period of 2025 and a profit of RMB0.51 billion for the fourth quarter of 2025.</w:t>
      </w:r>
    </w:p>
    <w:p>
      <w:pPr>
        <w:spacing w:after="0" w:line="153" w:lineRule="exact"/>
        <w:rPr>
          <w:rFonts w:ascii="Times New Roman" w:cs="Times New Roman" w:eastAsia="Times New Roman" w:hAnsi="Times New Roman"/>
          <w:sz w:val="18"/>
          <w:szCs w:val="18"/>
          <w:color w:val="auto"/>
        </w:rPr>
      </w:pPr>
    </w:p>
    <w:p>
      <w:pPr>
        <w:ind w:left="420" w:right="20" w:hanging="432"/>
        <w:spacing w:after="0" w:line="266" w:lineRule="auto"/>
        <w:rPr>
          <w:rFonts w:ascii="Times New Roman" w:cs="Times New Roman" w:eastAsia="Times New Roman" w:hAnsi="Times New Roman"/>
          <w:sz w:val="18"/>
          <w:szCs w:val="18"/>
          <w:color w:val="auto"/>
        </w:rPr>
      </w:pPr>
      <w:r>
        <w:rPr>
          <w:rFonts w:ascii="Times New Roman" w:cs="Times New Roman" w:eastAsia="Times New Roman" w:hAnsi="Times New Roman"/>
          <w:sz w:val="26"/>
          <w:szCs w:val="26"/>
          <w:color w:val="auto"/>
          <w:vertAlign w:val="superscript"/>
        </w:rPr>
        <w:t>i</w:t>
      </w:r>
      <w:r>
        <w:rPr>
          <w:rFonts w:ascii="Times New Roman" w:cs="Times New Roman" w:eastAsia="Times New Roman" w:hAnsi="Times New Roman"/>
          <w:sz w:val="18"/>
          <w:szCs w:val="18"/>
          <w:color w:val="auto"/>
        </w:rPr>
        <w:t>Cash position includes cash and cash equivalents, restricted cash, short-term investments and time deposits. Time deposits include restricted short-term deposits, short-term deposits, current portion and non-current portion of restricted long-term deposits, current portion and non-current portion of long-term deposits.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-450215</wp:posOffset>
            </wp:positionV>
            <wp:extent cx="771525"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71525" cy="8890"/>
                    </a:xfrm>
                    <a:prstGeom prst="rect">
                      <a:avLst/>
                    </a:prstGeom>
                    <a:noFill/>
                  </pic:spPr>
                </pic:pic>
              </a:graphicData>
            </a:graphic>
          </wp:anchor>
        </w:drawing>
      </w:r>
    </w:p>
    <w:p>
      <w:pPr>
        <w:spacing w:after="0" w:line="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ectPr>
          <w:pgSz w:w="11900" w:h="16838" w:orient="portrait"/>
          <w:cols w:equalWidth="0" w:num="1">
            <w:col w:w="11020"/>
          </w:cols>
          <w:pgMar w:left="440" w:top="117" w:right="439" w:bottom="1440" w:gutter="0" w:footer="0" w:header="0"/>
        </w:sectPr>
      </w:pPr>
    </w:p>
    <w:bookmarkStart w:id="4" w:name="page5"/>
    <w:bookmarkEnd w:id="4"/>
    <w:p>
      <w:pPr>
        <w:ind w:left="420" w:right="80" w:hanging="316"/>
        <w:spacing w:after="0" w:line="259" w:lineRule="auto"/>
        <w:tabs>
          <w:tab w:leader="none" w:pos="4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74865" cy="3873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183515</wp:posOffset>
            </wp:positionV>
            <wp:extent cx="1251585" cy="14541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clrChange>
                        <a:clrFrom>
                          <a:srgbClr val="FFFFFF"/>
                        </a:clrFrom>
                        <a:clrTo>
                          <a:srgbClr val="FFFFFF">
                            <a:alpha val="0"/>
                          </a:srgbClr>
                        </a:clrTo>
                      </a:clrChange>
                      <a:extLst>
                        <a:ext uri="{28A0092B-C50C-407E-A947-70E740481C1C}"/>
                      </a:extLst>
                    </a:blip>
                    <a:srcRect/>
                    <a:stretch>
                      <a:fillRect/>
                    </a:stretch>
                  </pic:blipFill>
                  <pic:spPr bwMode="auto">
                    <a:xfrm>
                      <a:off x="0" y="0"/>
                      <a:ext cx="1251585" cy="145415"/>
                    </a:xfrm>
                    <a:prstGeom prst="rect">
                      <a:avLst/>
                    </a:prstGeom>
                    <a:noFill/>
                  </pic:spPr>
                </pic:pic>
              </a:graphicData>
            </a:graphic>
          </wp:anchor>
        </w:drawing>
        <w:t xml:space="preserve">Net loss attributable to ordinary shareholders of XPENG </w:t>
      </w:r>
      <w:r>
        <w:rPr>
          <w:rFonts w:ascii="Times New Roman" w:cs="Times New Roman" w:eastAsia="Times New Roman" w:hAnsi="Times New Roman"/>
          <w:sz w:val="18"/>
          <w:szCs w:val="18"/>
          <w:color w:val="auto"/>
        </w:rPr>
        <w:t>was RMB1.78 billion (US$0.26 billion) for the first quarter of 2026, compared with</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a loss of RMB0.66 billion for the same period of 2025 and a profit of RMB0.38 billion for the fourth quarter of 2025. Excluding share-based compensation expenses and fair value loss (gain) on derivative liability relating to the contingent consideration, </w:t>
      </w:r>
      <w:r>
        <w:rPr>
          <w:rFonts w:ascii="Times New Roman" w:cs="Times New Roman" w:eastAsia="Times New Roman" w:hAnsi="Times New Roman"/>
          <w:sz w:val="18"/>
          <w:szCs w:val="18"/>
          <w:b w:val="1"/>
          <w:bCs w:val="1"/>
          <w:color w:val="auto"/>
        </w:rPr>
        <w:t>non-GAAP net loss attributable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 xml:space="preserve">to ordinary shareholders of XPENG </w:t>
      </w:r>
      <w:r>
        <w:rPr>
          <w:rFonts w:ascii="Times New Roman" w:cs="Times New Roman" w:eastAsia="Times New Roman" w:hAnsi="Times New Roman"/>
          <w:sz w:val="18"/>
          <w:szCs w:val="18"/>
          <w:color w:val="auto"/>
        </w:rPr>
        <w:t>was RMB1.69 billion (US$0.24 billion) for the first quarter of 2026, compared with a loss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RMB0.43 billion for the same period of 2025 and a profit of RMB0.51 billion for the fourth quarter of 2025.</w:t>
      </w:r>
    </w:p>
    <w:p>
      <w:pPr>
        <w:spacing w:after="0" w:line="84" w:lineRule="exact"/>
        <w:rPr>
          <w:rFonts w:ascii="Times New Roman" w:cs="Times New Roman" w:eastAsia="Times New Roman" w:hAnsi="Times New Roman"/>
          <w:sz w:val="18"/>
          <w:szCs w:val="18"/>
          <w:color w:val="auto"/>
        </w:rPr>
      </w:pPr>
    </w:p>
    <w:p>
      <w:pPr>
        <w:ind w:left="420" w:right="80" w:hanging="316"/>
        <w:spacing w:after="0" w:line="286" w:lineRule="auto"/>
        <w:tabs>
          <w:tab w:leader="none" w:pos="4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Basic and diluted net loss per American depositary share (ADS) </w:t>
      </w:r>
      <w:r>
        <w:rPr>
          <w:rFonts w:ascii="Times New Roman" w:cs="Times New Roman" w:eastAsia="Times New Roman" w:hAnsi="Times New Roman"/>
          <w:sz w:val="18"/>
          <w:szCs w:val="18"/>
          <w:color w:val="auto"/>
        </w:rPr>
        <w:t>were both RMB1.87 (US$0.27) and</w:t>
      </w:r>
      <w:r>
        <w:rPr>
          <w:rFonts w:ascii="Times New Roman" w:cs="Times New Roman" w:eastAsia="Times New Roman" w:hAnsi="Times New Roman"/>
          <w:sz w:val="18"/>
          <w:szCs w:val="18"/>
          <w:b w:val="1"/>
          <w:bCs w:val="1"/>
          <w:color w:val="auto"/>
        </w:rPr>
        <w:t xml:space="preserve"> basic and diluted net loss per ordinary share </w:t>
      </w:r>
      <w:r>
        <w:rPr>
          <w:rFonts w:ascii="Times New Roman" w:cs="Times New Roman" w:eastAsia="Times New Roman" w:hAnsi="Times New Roman"/>
          <w:sz w:val="18"/>
          <w:szCs w:val="18"/>
          <w:color w:val="auto"/>
        </w:rPr>
        <w:t>were both RMB0.93 (US$0.14) for the first quarter of 2026. Each ADS represents two Class A ordinary shares.</w:t>
      </w:r>
    </w:p>
    <w:p>
      <w:pPr>
        <w:spacing w:after="0" w:line="60" w:lineRule="exact"/>
        <w:rPr>
          <w:rFonts w:ascii="Times New Roman" w:cs="Times New Roman" w:eastAsia="Times New Roman" w:hAnsi="Times New Roman"/>
          <w:sz w:val="18"/>
          <w:szCs w:val="18"/>
          <w:color w:val="auto"/>
        </w:rPr>
      </w:pPr>
    </w:p>
    <w:p>
      <w:pPr>
        <w:ind w:left="420" w:right="460" w:hanging="316"/>
        <w:spacing w:after="0" w:line="286" w:lineRule="auto"/>
        <w:tabs>
          <w:tab w:leader="none" w:pos="4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Non-GAAP basic and diluted net loss per ADS </w:t>
      </w:r>
      <w:r>
        <w:rPr>
          <w:rFonts w:ascii="Times New Roman" w:cs="Times New Roman" w:eastAsia="Times New Roman" w:hAnsi="Times New Roman"/>
          <w:sz w:val="18"/>
          <w:szCs w:val="18"/>
          <w:color w:val="auto"/>
        </w:rPr>
        <w:t>were both RMB1.76 (US$0.26), and</w:t>
      </w:r>
      <w:r>
        <w:rPr>
          <w:rFonts w:ascii="Times New Roman" w:cs="Times New Roman" w:eastAsia="Times New Roman" w:hAnsi="Times New Roman"/>
          <w:sz w:val="18"/>
          <w:szCs w:val="18"/>
          <w:b w:val="1"/>
          <w:bCs w:val="1"/>
          <w:color w:val="auto"/>
        </w:rPr>
        <w:t xml:space="preserve"> non-GAAP basic and diluted net loss per ordinary share </w:t>
      </w:r>
      <w:r>
        <w:rPr>
          <w:rFonts w:ascii="Times New Roman" w:cs="Times New Roman" w:eastAsia="Times New Roman" w:hAnsi="Times New Roman"/>
          <w:sz w:val="18"/>
          <w:szCs w:val="18"/>
          <w:color w:val="auto"/>
        </w:rPr>
        <w:t>were both RMB0.88 (US$0.13) for the first quarter of 2026.</w:t>
      </w:r>
    </w:p>
    <w:p>
      <w:pPr>
        <w:spacing w:after="0" w:line="60" w:lineRule="exact"/>
        <w:rPr>
          <w:rFonts w:ascii="Times New Roman" w:cs="Times New Roman" w:eastAsia="Times New Roman" w:hAnsi="Times New Roman"/>
          <w:sz w:val="18"/>
          <w:szCs w:val="18"/>
          <w:color w:val="auto"/>
        </w:rPr>
      </w:pPr>
    </w:p>
    <w:p>
      <w:pPr>
        <w:ind w:left="420" w:hanging="316"/>
        <w:spacing w:after="0"/>
        <w:tabs>
          <w:tab w:leader="none" w:pos="4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Cash position </w:t>
      </w:r>
      <w:r>
        <w:rPr>
          <w:rFonts w:ascii="Times New Roman" w:cs="Times New Roman" w:eastAsia="Times New Roman" w:hAnsi="Times New Roman"/>
          <w:sz w:val="18"/>
          <w:szCs w:val="18"/>
          <w:color w:val="auto"/>
        </w:rPr>
        <w:t>was RMB42.09 billion (US$6.10 billion) as of March 31, 2026, compared with RMB47.66 billion as of December 31, 2025.</w:t>
      </w:r>
    </w:p>
    <w:p>
      <w:pPr>
        <w:spacing w:after="0" w:line="3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Key Financial Results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RMB billions, except for percentages)</w:t>
      </w:r>
    </w:p>
    <w:p>
      <w:pPr>
        <w:spacing w:after="0" w:line="23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400" w:type="dxa"/>
            <w:vAlign w:val="bottom"/>
          </w:tcPr>
          <w:p>
            <w:pPr>
              <w:spacing w:after="0"/>
              <w:rPr>
                <w:sz w:val="13"/>
                <w:szCs w:val="13"/>
                <w:color w:val="auto"/>
              </w:rPr>
            </w:pPr>
          </w:p>
        </w:tc>
        <w:tc>
          <w:tcPr>
            <w:tcW w:w="3900" w:type="dxa"/>
            <w:vAlign w:val="bottom"/>
            <w:gridSpan w:val="3"/>
          </w:tcPr>
          <w:p>
            <w:pPr>
              <w:jc w:val="center"/>
              <w:ind w:left="354"/>
              <w:spacing w:after="0"/>
              <w:rPr>
                <w:sz w:val="20"/>
                <w:szCs w:val="20"/>
                <w:color w:val="auto"/>
              </w:rPr>
            </w:pPr>
            <w:r>
              <w:rPr>
                <w:rFonts w:ascii="Times New Roman" w:cs="Times New Roman" w:eastAsia="Times New Roman" w:hAnsi="Times New Roman"/>
                <w:sz w:val="14"/>
                <w:szCs w:val="14"/>
                <w:b w:val="1"/>
                <w:bCs w:val="1"/>
                <w:color w:val="auto"/>
              </w:rPr>
              <w:t>For the Three Months Ended</w:t>
            </w:r>
          </w:p>
        </w:tc>
        <w:tc>
          <w:tcPr>
            <w:tcW w:w="1720" w:type="dxa"/>
            <w:vAlign w:val="bottom"/>
            <w:gridSpan w:val="2"/>
          </w:tcPr>
          <w:p>
            <w:pPr>
              <w:jc w:val="right"/>
              <w:ind w:right="492"/>
              <w:spacing w:after="0"/>
              <w:rPr>
                <w:sz w:val="20"/>
                <w:szCs w:val="20"/>
                <w:color w:val="auto"/>
              </w:rPr>
            </w:pPr>
            <w:r>
              <w:rPr>
                <w:rFonts w:ascii="Times New Roman" w:cs="Times New Roman" w:eastAsia="Times New Roman" w:hAnsi="Times New Roman"/>
                <w:sz w:val="14"/>
                <w:szCs w:val="14"/>
                <w:b w:val="1"/>
                <w:bCs w:val="1"/>
                <w:color w:val="auto"/>
              </w:rPr>
              <w:t>% Change</w:t>
            </w:r>
            <w:r>
              <w:rPr>
                <w:rFonts w:ascii="Times New Roman" w:cs="Times New Roman" w:eastAsia="Times New Roman" w:hAnsi="Times New Roman"/>
                <w:sz w:val="10"/>
                <w:szCs w:val="10"/>
                <w:b w:val="1"/>
                <w:bCs w:val="1"/>
                <w:color w:val="auto"/>
              </w:rPr>
              <w:t>ii</w:t>
            </w:r>
          </w:p>
        </w:tc>
        <w:tc>
          <w:tcPr>
            <w:tcW w:w="0" w:type="dxa"/>
            <w:vAlign w:val="bottom"/>
          </w:tcPr>
          <w:p>
            <w:pPr>
              <w:spacing w:after="0"/>
              <w:rPr>
                <w:sz w:val="1"/>
                <w:szCs w:val="1"/>
                <w:color w:val="auto"/>
              </w:rPr>
            </w:pPr>
          </w:p>
        </w:tc>
      </w:tr>
      <w:tr>
        <w:trPr>
          <w:trHeight w:val="148"/>
        </w:trPr>
        <w:tc>
          <w:tcPr>
            <w:tcW w:w="5400" w:type="dxa"/>
            <w:vAlign w:val="bottom"/>
          </w:tcPr>
          <w:p>
            <w:pPr>
              <w:spacing w:after="0"/>
              <w:rPr>
                <w:sz w:val="12"/>
                <w:szCs w:val="12"/>
                <w:color w:val="auto"/>
              </w:rPr>
            </w:pPr>
          </w:p>
        </w:tc>
        <w:tc>
          <w:tcPr>
            <w:tcW w:w="1640" w:type="dxa"/>
            <w:vAlign w:val="bottom"/>
          </w:tcPr>
          <w:p>
            <w:pPr>
              <w:jc w:val="right"/>
              <w:ind w:right="174"/>
              <w:spacing w:after="0" w:line="149" w:lineRule="exact"/>
              <w:rPr>
                <w:sz w:val="20"/>
                <w:szCs w:val="20"/>
                <w:color w:val="auto"/>
              </w:rPr>
            </w:pPr>
            <w:r>
              <w:rPr>
                <w:rFonts w:ascii="Times New Roman" w:cs="Times New Roman" w:eastAsia="Times New Roman" w:hAnsi="Times New Roman"/>
                <w:sz w:val="14"/>
                <w:szCs w:val="14"/>
                <w:b w:val="1"/>
                <w:bCs w:val="1"/>
                <w:color w:val="auto"/>
              </w:rPr>
              <w:t>March 31,</w:t>
            </w:r>
          </w:p>
        </w:tc>
        <w:tc>
          <w:tcPr>
            <w:tcW w:w="1220" w:type="dxa"/>
            <w:vAlign w:val="bottom"/>
          </w:tcPr>
          <w:p>
            <w:pPr>
              <w:jc w:val="center"/>
              <w:ind w:right="73"/>
              <w:spacing w:after="0" w:line="149" w:lineRule="exact"/>
              <w:rPr>
                <w:sz w:val="20"/>
                <w:szCs w:val="20"/>
                <w:color w:val="auto"/>
              </w:rPr>
            </w:pPr>
            <w:r>
              <w:rPr>
                <w:rFonts w:ascii="Times New Roman" w:cs="Times New Roman" w:eastAsia="Times New Roman" w:hAnsi="Times New Roman"/>
                <w:sz w:val="14"/>
                <w:szCs w:val="14"/>
                <w:b w:val="1"/>
                <w:bCs w:val="1"/>
                <w:color w:val="auto"/>
              </w:rPr>
              <w:t>December 31,</w:t>
            </w:r>
          </w:p>
        </w:tc>
        <w:tc>
          <w:tcPr>
            <w:tcW w:w="1040" w:type="dxa"/>
            <w:vAlign w:val="bottom"/>
          </w:tcPr>
          <w:p>
            <w:pPr>
              <w:jc w:val="right"/>
              <w:ind w:right="213"/>
              <w:spacing w:after="0" w:line="149" w:lineRule="exact"/>
              <w:rPr>
                <w:sz w:val="20"/>
                <w:szCs w:val="20"/>
                <w:color w:val="auto"/>
              </w:rPr>
            </w:pPr>
            <w:r>
              <w:rPr>
                <w:rFonts w:ascii="Times New Roman" w:cs="Times New Roman" w:eastAsia="Times New Roman" w:hAnsi="Times New Roman"/>
                <w:sz w:val="14"/>
                <w:szCs w:val="14"/>
                <w:b w:val="1"/>
                <w:bCs w:val="1"/>
                <w:color w:val="auto"/>
              </w:rPr>
              <w:t>March 31,</w:t>
            </w:r>
          </w:p>
        </w:tc>
        <w:tc>
          <w:tcPr>
            <w:tcW w:w="880" w:type="dxa"/>
            <w:vAlign w:val="bottom"/>
            <w:vMerge w:val="restart"/>
          </w:tcPr>
          <w:p>
            <w:pPr>
              <w:jc w:val="right"/>
              <w:ind w:right="333"/>
              <w:spacing w:after="0"/>
              <w:rPr>
                <w:sz w:val="20"/>
                <w:szCs w:val="20"/>
                <w:color w:val="auto"/>
              </w:rPr>
            </w:pPr>
            <w:r>
              <w:rPr>
                <w:rFonts w:ascii="Times New Roman" w:cs="Times New Roman" w:eastAsia="Times New Roman" w:hAnsi="Times New Roman"/>
                <w:sz w:val="14"/>
                <w:szCs w:val="14"/>
                <w:b w:val="1"/>
                <w:bCs w:val="1"/>
                <w:color w:val="auto"/>
              </w:rPr>
              <w:t>YoY</w:t>
            </w:r>
          </w:p>
        </w:tc>
        <w:tc>
          <w:tcPr>
            <w:tcW w:w="840" w:type="dxa"/>
            <w:vAlign w:val="bottom"/>
            <w:vMerge w:val="restart"/>
          </w:tcPr>
          <w:p>
            <w:pPr>
              <w:jc w:val="right"/>
              <w:ind w:right="252"/>
              <w:spacing w:after="0"/>
              <w:rPr>
                <w:sz w:val="20"/>
                <w:szCs w:val="20"/>
                <w:color w:val="auto"/>
              </w:rPr>
            </w:pPr>
            <w:r>
              <w:rPr>
                <w:rFonts w:ascii="Times New Roman" w:cs="Times New Roman" w:eastAsia="Times New Roman" w:hAnsi="Times New Roman"/>
                <w:sz w:val="14"/>
                <w:szCs w:val="14"/>
                <w:b w:val="1"/>
                <w:bCs w:val="1"/>
                <w:color w:val="auto"/>
              </w:rPr>
              <w:t>QoQ</w:t>
            </w:r>
          </w:p>
        </w:tc>
        <w:tc>
          <w:tcPr>
            <w:tcW w:w="0" w:type="dxa"/>
            <w:vAlign w:val="bottom"/>
          </w:tcPr>
          <w:p>
            <w:pPr>
              <w:spacing w:after="0"/>
              <w:rPr>
                <w:sz w:val="1"/>
                <w:szCs w:val="1"/>
                <w:color w:val="auto"/>
              </w:rPr>
            </w:pPr>
          </w:p>
        </w:tc>
      </w:tr>
      <w:tr>
        <w:trPr>
          <w:trHeight w:val="173"/>
        </w:trPr>
        <w:tc>
          <w:tcPr>
            <w:tcW w:w="5400" w:type="dxa"/>
            <w:vAlign w:val="bottom"/>
          </w:tcPr>
          <w:p>
            <w:pPr>
              <w:spacing w:after="0"/>
              <w:rPr>
                <w:sz w:val="15"/>
                <w:szCs w:val="15"/>
                <w:color w:val="auto"/>
              </w:rPr>
            </w:pPr>
          </w:p>
        </w:tc>
        <w:tc>
          <w:tcPr>
            <w:tcW w:w="1640" w:type="dxa"/>
            <w:vAlign w:val="bottom"/>
          </w:tcPr>
          <w:p>
            <w:pPr>
              <w:jc w:val="right"/>
              <w:ind w:right="354"/>
              <w:spacing w:after="0"/>
              <w:rPr>
                <w:sz w:val="20"/>
                <w:szCs w:val="20"/>
                <w:color w:val="auto"/>
              </w:rPr>
            </w:pPr>
            <w:r>
              <w:rPr>
                <w:rFonts w:ascii="Times New Roman" w:cs="Times New Roman" w:eastAsia="Times New Roman" w:hAnsi="Times New Roman"/>
                <w:sz w:val="14"/>
                <w:szCs w:val="14"/>
                <w:b w:val="1"/>
                <w:bCs w:val="1"/>
                <w:color w:val="auto"/>
              </w:rPr>
              <w:t>2026</w:t>
            </w:r>
          </w:p>
        </w:tc>
        <w:tc>
          <w:tcPr>
            <w:tcW w:w="1220" w:type="dxa"/>
            <w:vAlign w:val="bottom"/>
          </w:tcPr>
          <w:p>
            <w:pPr>
              <w:jc w:val="center"/>
              <w:ind w:right="73"/>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40" w:type="dxa"/>
            <w:vAlign w:val="bottom"/>
          </w:tcPr>
          <w:p>
            <w:pPr>
              <w:jc w:val="right"/>
              <w:ind w:right="393"/>
              <w:spacing w:after="0"/>
              <w:rPr>
                <w:sz w:val="20"/>
                <w:szCs w:val="20"/>
                <w:color w:val="auto"/>
              </w:rPr>
            </w:pPr>
            <w:r>
              <w:rPr>
                <w:rFonts w:ascii="Times New Roman" w:cs="Times New Roman" w:eastAsia="Times New Roman" w:hAnsi="Times New Roman"/>
                <w:sz w:val="14"/>
                <w:szCs w:val="14"/>
                <w:b w:val="1"/>
                <w:bCs w:val="1"/>
                <w:color w:val="auto"/>
              </w:rPr>
              <w:t>2025</w:t>
            </w:r>
          </w:p>
        </w:tc>
        <w:tc>
          <w:tcPr>
            <w:tcW w:w="880" w:type="dxa"/>
            <w:vAlign w:val="bottom"/>
            <w:vMerge w:val="continue"/>
          </w:tcPr>
          <w:p>
            <w:pPr>
              <w:spacing w:after="0"/>
              <w:rPr>
                <w:sz w:val="15"/>
                <w:szCs w:val="15"/>
                <w:color w:val="auto"/>
              </w:rPr>
            </w:pPr>
          </w:p>
        </w:tc>
        <w:tc>
          <w:tcPr>
            <w:tcW w:w="84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5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Vehicle sales</w:t>
            </w:r>
          </w:p>
        </w:tc>
        <w:tc>
          <w:tcPr>
            <w:tcW w:w="1640" w:type="dxa"/>
            <w:vAlign w:val="bottom"/>
            <w:shd w:val="clear" w:color="auto" w:fill="CCEEFF"/>
          </w:tcPr>
          <w:p>
            <w:pPr>
              <w:jc w:val="right"/>
              <w:ind w:right="174"/>
              <w:spacing w:after="0"/>
              <w:rPr>
                <w:sz w:val="20"/>
                <w:szCs w:val="20"/>
                <w:color w:val="auto"/>
              </w:rPr>
            </w:pPr>
            <w:r>
              <w:rPr>
                <w:rFonts w:ascii="Times New Roman" w:cs="Times New Roman" w:eastAsia="Times New Roman" w:hAnsi="Times New Roman"/>
                <w:sz w:val="18"/>
                <w:szCs w:val="18"/>
                <w:color w:val="auto"/>
              </w:rPr>
              <w:t>11.00</w:t>
            </w:r>
          </w:p>
        </w:tc>
        <w:tc>
          <w:tcPr>
            <w:tcW w:w="1220" w:type="dxa"/>
            <w:vAlign w:val="bottom"/>
            <w:shd w:val="clear" w:color="auto" w:fill="CCEEFF"/>
          </w:tcPr>
          <w:p>
            <w:pPr>
              <w:jc w:val="right"/>
              <w:ind w:right="193"/>
              <w:spacing w:after="0"/>
              <w:rPr>
                <w:sz w:val="20"/>
                <w:szCs w:val="20"/>
                <w:color w:val="auto"/>
              </w:rPr>
            </w:pPr>
            <w:r>
              <w:rPr>
                <w:rFonts w:ascii="Times New Roman" w:cs="Times New Roman" w:eastAsia="Times New Roman" w:hAnsi="Times New Roman"/>
                <w:sz w:val="18"/>
                <w:szCs w:val="18"/>
                <w:color w:val="auto"/>
              </w:rPr>
              <w:t>19.07</w:t>
            </w:r>
          </w:p>
        </w:tc>
        <w:tc>
          <w:tcPr>
            <w:tcW w:w="1040" w:type="dxa"/>
            <w:vAlign w:val="bottom"/>
            <w:shd w:val="clear" w:color="auto" w:fill="CCEEFF"/>
          </w:tcPr>
          <w:p>
            <w:pPr>
              <w:jc w:val="right"/>
              <w:ind w:right="213"/>
              <w:spacing w:after="0"/>
              <w:rPr>
                <w:sz w:val="20"/>
                <w:szCs w:val="20"/>
                <w:color w:val="auto"/>
              </w:rPr>
            </w:pPr>
            <w:r>
              <w:rPr>
                <w:rFonts w:ascii="Times New Roman" w:cs="Times New Roman" w:eastAsia="Times New Roman" w:hAnsi="Times New Roman"/>
                <w:sz w:val="18"/>
                <w:szCs w:val="18"/>
                <w:color w:val="auto"/>
              </w:rPr>
              <w:t>14.37</w:t>
            </w:r>
          </w:p>
        </w:tc>
        <w:tc>
          <w:tcPr>
            <w:tcW w:w="880" w:type="dxa"/>
            <w:vAlign w:val="bottom"/>
            <w:shd w:val="clear" w:color="auto" w:fill="CCEEFF"/>
          </w:tcPr>
          <w:p>
            <w:pPr>
              <w:jc w:val="right"/>
              <w:ind w:right="73"/>
              <w:spacing w:after="0"/>
              <w:rPr>
                <w:sz w:val="20"/>
                <w:szCs w:val="20"/>
                <w:color w:val="auto"/>
              </w:rPr>
            </w:pPr>
            <w:r>
              <w:rPr>
                <w:rFonts w:ascii="Times New Roman" w:cs="Times New Roman" w:eastAsia="Times New Roman" w:hAnsi="Times New Roman"/>
                <w:sz w:val="18"/>
                <w:szCs w:val="18"/>
                <w:color w:val="auto"/>
              </w:rPr>
              <w:t>-23.5%</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-42.3%</w:t>
            </w:r>
          </w:p>
        </w:tc>
        <w:tc>
          <w:tcPr>
            <w:tcW w:w="0" w:type="dxa"/>
            <w:vAlign w:val="bottom"/>
          </w:tcPr>
          <w:p>
            <w:pPr>
              <w:spacing w:after="0"/>
              <w:rPr>
                <w:sz w:val="1"/>
                <w:szCs w:val="1"/>
                <w:color w:val="auto"/>
              </w:rPr>
            </w:pPr>
          </w:p>
        </w:tc>
      </w:tr>
      <w:tr>
        <w:trPr>
          <w:trHeight w:val="216"/>
        </w:trPr>
        <w:tc>
          <w:tcPr>
            <w:tcW w:w="5400" w:type="dxa"/>
            <w:vAlign w:val="bottom"/>
          </w:tcPr>
          <w:p>
            <w:pPr>
              <w:spacing w:after="0"/>
              <w:rPr>
                <w:sz w:val="20"/>
                <w:szCs w:val="20"/>
                <w:color w:val="auto"/>
              </w:rPr>
            </w:pPr>
            <w:r>
              <w:rPr>
                <w:rFonts w:ascii="Times New Roman" w:cs="Times New Roman" w:eastAsia="Times New Roman" w:hAnsi="Times New Roman"/>
                <w:sz w:val="18"/>
                <w:szCs w:val="18"/>
                <w:color w:val="auto"/>
              </w:rPr>
              <w:t>Vehicle margin</w:t>
            </w:r>
          </w:p>
        </w:tc>
        <w:tc>
          <w:tcPr>
            <w:tcW w:w="164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12.1%</w:t>
            </w:r>
          </w:p>
        </w:tc>
        <w:tc>
          <w:tcPr>
            <w:tcW w:w="122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13.0%</w:t>
            </w:r>
          </w:p>
        </w:tc>
        <w:tc>
          <w:tcPr>
            <w:tcW w:w="1040" w:type="dxa"/>
            <w:vAlign w:val="bottom"/>
          </w:tcPr>
          <w:p>
            <w:pPr>
              <w:jc w:val="right"/>
              <w:ind w:right="53"/>
              <w:spacing w:after="0"/>
              <w:rPr>
                <w:sz w:val="20"/>
                <w:szCs w:val="20"/>
                <w:color w:val="auto"/>
              </w:rPr>
            </w:pPr>
            <w:r>
              <w:rPr>
                <w:rFonts w:ascii="Times New Roman" w:cs="Times New Roman" w:eastAsia="Times New Roman" w:hAnsi="Times New Roman"/>
                <w:sz w:val="18"/>
                <w:szCs w:val="18"/>
                <w:color w:val="auto"/>
              </w:rPr>
              <w:t>10.5%</w:t>
            </w:r>
          </w:p>
        </w:tc>
        <w:tc>
          <w:tcPr>
            <w:tcW w:w="880" w:type="dxa"/>
            <w:vAlign w:val="bottom"/>
          </w:tcPr>
          <w:p>
            <w:pPr>
              <w:jc w:val="right"/>
              <w:ind w:right="213"/>
              <w:spacing w:after="0"/>
              <w:rPr>
                <w:sz w:val="20"/>
                <w:szCs w:val="20"/>
                <w:color w:val="auto"/>
              </w:rPr>
            </w:pPr>
            <w:r>
              <w:rPr>
                <w:rFonts w:ascii="Times New Roman" w:cs="Times New Roman" w:eastAsia="Times New Roman" w:hAnsi="Times New Roman"/>
                <w:sz w:val="18"/>
                <w:szCs w:val="18"/>
                <w:color w:val="auto"/>
              </w:rPr>
              <w:t>1.6pts</w:t>
            </w:r>
          </w:p>
        </w:tc>
        <w:tc>
          <w:tcPr>
            <w:tcW w:w="84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-0.9pts</w:t>
            </w:r>
          </w:p>
        </w:tc>
        <w:tc>
          <w:tcPr>
            <w:tcW w:w="0" w:type="dxa"/>
            <w:vAlign w:val="bottom"/>
          </w:tcPr>
          <w:p>
            <w:pPr>
              <w:spacing w:after="0"/>
              <w:rPr>
                <w:sz w:val="1"/>
                <w:szCs w:val="1"/>
                <w:color w:val="auto"/>
              </w:rPr>
            </w:pPr>
          </w:p>
        </w:tc>
      </w:tr>
      <w:tr>
        <w:trPr>
          <w:trHeight w:val="216"/>
        </w:trPr>
        <w:tc>
          <w:tcPr>
            <w:tcW w:w="5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revenues</w:t>
            </w:r>
          </w:p>
        </w:tc>
        <w:tc>
          <w:tcPr>
            <w:tcW w:w="1640" w:type="dxa"/>
            <w:vAlign w:val="bottom"/>
            <w:shd w:val="clear" w:color="auto" w:fill="CCEEFF"/>
          </w:tcPr>
          <w:p>
            <w:pPr>
              <w:jc w:val="right"/>
              <w:ind w:right="174"/>
              <w:spacing w:after="0"/>
              <w:rPr>
                <w:sz w:val="20"/>
                <w:szCs w:val="20"/>
                <w:color w:val="auto"/>
              </w:rPr>
            </w:pPr>
            <w:r>
              <w:rPr>
                <w:rFonts w:ascii="Times New Roman" w:cs="Times New Roman" w:eastAsia="Times New Roman" w:hAnsi="Times New Roman"/>
                <w:sz w:val="18"/>
                <w:szCs w:val="18"/>
                <w:color w:val="auto"/>
              </w:rPr>
              <w:t>13.03</w:t>
            </w:r>
          </w:p>
        </w:tc>
        <w:tc>
          <w:tcPr>
            <w:tcW w:w="1220" w:type="dxa"/>
            <w:vAlign w:val="bottom"/>
            <w:shd w:val="clear" w:color="auto" w:fill="CCEEFF"/>
          </w:tcPr>
          <w:p>
            <w:pPr>
              <w:jc w:val="right"/>
              <w:ind w:right="193"/>
              <w:spacing w:after="0"/>
              <w:rPr>
                <w:sz w:val="20"/>
                <w:szCs w:val="20"/>
                <w:color w:val="auto"/>
              </w:rPr>
            </w:pPr>
            <w:r>
              <w:rPr>
                <w:rFonts w:ascii="Times New Roman" w:cs="Times New Roman" w:eastAsia="Times New Roman" w:hAnsi="Times New Roman"/>
                <w:sz w:val="18"/>
                <w:szCs w:val="18"/>
                <w:color w:val="auto"/>
              </w:rPr>
              <w:t>22.25</w:t>
            </w:r>
          </w:p>
        </w:tc>
        <w:tc>
          <w:tcPr>
            <w:tcW w:w="1040" w:type="dxa"/>
            <w:vAlign w:val="bottom"/>
            <w:shd w:val="clear" w:color="auto" w:fill="CCEEFF"/>
          </w:tcPr>
          <w:p>
            <w:pPr>
              <w:jc w:val="right"/>
              <w:ind w:right="213"/>
              <w:spacing w:after="0"/>
              <w:rPr>
                <w:sz w:val="20"/>
                <w:szCs w:val="20"/>
                <w:color w:val="auto"/>
              </w:rPr>
            </w:pPr>
            <w:r>
              <w:rPr>
                <w:rFonts w:ascii="Times New Roman" w:cs="Times New Roman" w:eastAsia="Times New Roman" w:hAnsi="Times New Roman"/>
                <w:sz w:val="18"/>
                <w:szCs w:val="18"/>
                <w:color w:val="auto"/>
              </w:rPr>
              <w:t>15.81</w:t>
            </w:r>
          </w:p>
        </w:tc>
        <w:tc>
          <w:tcPr>
            <w:tcW w:w="880" w:type="dxa"/>
            <w:vAlign w:val="bottom"/>
            <w:shd w:val="clear" w:color="auto" w:fill="CCEEFF"/>
          </w:tcPr>
          <w:p>
            <w:pPr>
              <w:jc w:val="right"/>
              <w:ind w:right="73"/>
              <w:spacing w:after="0"/>
              <w:rPr>
                <w:sz w:val="20"/>
                <w:szCs w:val="20"/>
                <w:color w:val="auto"/>
              </w:rPr>
            </w:pPr>
            <w:r>
              <w:rPr>
                <w:rFonts w:ascii="Times New Roman" w:cs="Times New Roman" w:eastAsia="Times New Roman" w:hAnsi="Times New Roman"/>
                <w:sz w:val="18"/>
                <w:szCs w:val="18"/>
                <w:color w:val="auto"/>
              </w:rPr>
              <w:t>-17.6%</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-41.4%</w:t>
            </w:r>
          </w:p>
        </w:tc>
        <w:tc>
          <w:tcPr>
            <w:tcW w:w="0" w:type="dxa"/>
            <w:vAlign w:val="bottom"/>
          </w:tcPr>
          <w:p>
            <w:pPr>
              <w:spacing w:after="0"/>
              <w:rPr>
                <w:sz w:val="1"/>
                <w:szCs w:val="1"/>
                <w:color w:val="auto"/>
              </w:rPr>
            </w:pPr>
          </w:p>
        </w:tc>
      </w:tr>
      <w:tr>
        <w:trPr>
          <w:trHeight w:val="216"/>
        </w:trPr>
        <w:tc>
          <w:tcPr>
            <w:tcW w:w="5400" w:type="dxa"/>
            <w:vAlign w:val="bottom"/>
          </w:tcPr>
          <w:p>
            <w:pPr>
              <w:spacing w:after="0"/>
              <w:rPr>
                <w:sz w:val="20"/>
                <w:szCs w:val="20"/>
                <w:color w:val="auto"/>
              </w:rPr>
            </w:pPr>
            <w:r>
              <w:rPr>
                <w:rFonts w:ascii="Times New Roman" w:cs="Times New Roman" w:eastAsia="Times New Roman" w:hAnsi="Times New Roman"/>
                <w:sz w:val="18"/>
                <w:szCs w:val="18"/>
                <w:color w:val="auto"/>
              </w:rPr>
              <w:t>Gross profit</w:t>
            </w:r>
          </w:p>
        </w:tc>
        <w:tc>
          <w:tcPr>
            <w:tcW w:w="1640" w:type="dxa"/>
            <w:vAlign w:val="bottom"/>
          </w:tcPr>
          <w:p>
            <w:pPr>
              <w:jc w:val="right"/>
              <w:ind w:right="174"/>
              <w:spacing w:after="0"/>
              <w:rPr>
                <w:sz w:val="20"/>
                <w:szCs w:val="20"/>
                <w:color w:val="auto"/>
              </w:rPr>
            </w:pPr>
            <w:r>
              <w:rPr>
                <w:rFonts w:ascii="Times New Roman" w:cs="Times New Roman" w:eastAsia="Times New Roman" w:hAnsi="Times New Roman"/>
                <w:sz w:val="18"/>
                <w:szCs w:val="18"/>
                <w:color w:val="auto"/>
              </w:rPr>
              <w:t>2.68</w:t>
            </w:r>
          </w:p>
        </w:tc>
        <w:tc>
          <w:tcPr>
            <w:tcW w:w="1220" w:type="dxa"/>
            <w:vAlign w:val="bottom"/>
          </w:tcPr>
          <w:p>
            <w:pPr>
              <w:jc w:val="right"/>
              <w:ind w:right="193"/>
              <w:spacing w:after="0"/>
              <w:rPr>
                <w:sz w:val="20"/>
                <w:szCs w:val="20"/>
                <w:color w:val="auto"/>
              </w:rPr>
            </w:pPr>
            <w:r>
              <w:rPr>
                <w:rFonts w:ascii="Times New Roman" w:cs="Times New Roman" w:eastAsia="Times New Roman" w:hAnsi="Times New Roman"/>
                <w:sz w:val="18"/>
                <w:szCs w:val="18"/>
                <w:color w:val="auto"/>
              </w:rPr>
              <w:t>4.74</w:t>
            </w:r>
          </w:p>
        </w:tc>
        <w:tc>
          <w:tcPr>
            <w:tcW w:w="1040" w:type="dxa"/>
            <w:vAlign w:val="bottom"/>
          </w:tcPr>
          <w:p>
            <w:pPr>
              <w:jc w:val="right"/>
              <w:ind w:right="213"/>
              <w:spacing w:after="0"/>
              <w:rPr>
                <w:sz w:val="20"/>
                <w:szCs w:val="20"/>
                <w:color w:val="auto"/>
              </w:rPr>
            </w:pPr>
            <w:r>
              <w:rPr>
                <w:rFonts w:ascii="Times New Roman" w:cs="Times New Roman" w:eastAsia="Times New Roman" w:hAnsi="Times New Roman"/>
                <w:sz w:val="18"/>
                <w:szCs w:val="18"/>
                <w:color w:val="auto"/>
              </w:rPr>
              <w:t>2.46</w:t>
            </w:r>
          </w:p>
        </w:tc>
        <w:tc>
          <w:tcPr>
            <w:tcW w:w="880" w:type="dxa"/>
            <w:vAlign w:val="bottom"/>
          </w:tcPr>
          <w:p>
            <w:pPr>
              <w:jc w:val="right"/>
              <w:ind w:right="73"/>
              <w:spacing w:after="0"/>
              <w:rPr>
                <w:sz w:val="20"/>
                <w:szCs w:val="20"/>
                <w:color w:val="auto"/>
              </w:rPr>
            </w:pPr>
            <w:r>
              <w:rPr>
                <w:rFonts w:ascii="Times New Roman" w:cs="Times New Roman" w:eastAsia="Times New Roman" w:hAnsi="Times New Roman"/>
                <w:sz w:val="18"/>
                <w:szCs w:val="18"/>
                <w:color w:val="auto"/>
              </w:rPr>
              <w:t>9.1%</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-43.4%</w:t>
            </w:r>
          </w:p>
        </w:tc>
        <w:tc>
          <w:tcPr>
            <w:tcW w:w="0" w:type="dxa"/>
            <w:vAlign w:val="bottom"/>
          </w:tcPr>
          <w:p>
            <w:pPr>
              <w:spacing w:after="0"/>
              <w:rPr>
                <w:sz w:val="1"/>
                <w:szCs w:val="1"/>
                <w:color w:val="auto"/>
              </w:rPr>
            </w:pPr>
          </w:p>
        </w:tc>
      </w:tr>
      <w:tr>
        <w:trPr>
          <w:trHeight w:val="216"/>
        </w:trPr>
        <w:tc>
          <w:tcPr>
            <w:tcW w:w="5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Gross margin</w:t>
            </w:r>
          </w:p>
        </w:tc>
        <w:tc>
          <w:tcPr>
            <w:tcW w:w="1640" w:type="dxa"/>
            <w:vAlign w:val="bottom"/>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20.6%</w:t>
            </w:r>
          </w:p>
        </w:tc>
        <w:tc>
          <w:tcPr>
            <w:tcW w:w="1220" w:type="dxa"/>
            <w:vAlign w:val="bottom"/>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21.3%</w:t>
            </w:r>
          </w:p>
        </w:tc>
        <w:tc>
          <w:tcPr>
            <w:tcW w:w="1040" w:type="dxa"/>
            <w:vAlign w:val="bottom"/>
            <w:shd w:val="clear" w:color="auto" w:fill="CCEEFF"/>
          </w:tcPr>
          <w:p>
            <w:pPr>
              <w:jc w:val="right"/>
              <w:ind w:right="53"/>
              <w:spacing w:after="0"/>
              <w:rPr>
                <w:sz w:val="20"/>
                <w:szCs w:val="20"/>
                <w:color w:val="auto"/>
              </w:rPr>
            </w:pPr>
            <w:r>
              <w:rPr>
                <w:rFonts w:ascii="Times New Roman" w:cs="Times New Roman" w:eastAsia="Times New Roman" w:hAnsi="Times New Roman"/>
                <w:sz w:val="18"/>
                <w:szCs w:val="18"/>
                <w:color w:val="auto"/>
              </w:rPr>
              <w:t>15.6%</w:t>
            </w:r>
          </w:p>
        </w:tc>
        <w:tc>
          <w:tcPr>
            <w:tcW w:w="880" w:type="dxa"/>
            <w:vAlign w:val="bottom"/>
            <w:shd w:val="clear" w:color="auto" w:fill="CCEEFF"/>
          </w:tcPr>
          <w:p>
            <w:pPr>
              <w:jc w:val="right"/>
              <w:ind w:right="213"/>
              <w:spacing w:after="0"/>
              <w:rPr>
                <w:sz w:val="20"/>
                <w:szCs w:val="20"/>
                <w:color w:val="auto"/>
              </w:rPr>
            </w:pPr>
            <w:r>
              <w:rPr>
                <w:rFonts w:ascii="Times New Roman" w:cs="Times New Roman" w:eastAsia="Times New Roman" w:hAnsi="Times New Roman"/>
                <w:sz w:val="18"/>
                <w:szCs w:val="18"/>
                <w:color w:val="auto"/>
              </w:rPr>
              <w:t>5.0pts</w:t>
            </w:r>
          </w:p>
        </w:tc>
        <w:tc>
          <w:tcPr>
            <w:tcW w:w="84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-0.7pts</w:t>
            </w:r>
          </w:p>
        </w:tc>
        <w:tc>
          <w:tcPr>
            <w:tcW w:w="0" w:type="dxa"/>
            <w:vAlign w:val="bottom"/>
          </w:tcPr>
          <w:p>
            <w:pPr>
              <w:spacing w:after="0"/>
              <w:rPr>
                <w:sz w:val="1"/>
                <w:szCs w:val="1"/>
                <w:color w:val="auto"/>
              </w:rPr>
            </w:pPr>
          </w:p>
        </w:tc>
      </w:tr>
      <w:tr>
        <w:trPr>
          <w:trHeight w:val="216"/>
        </w:trPr>
        <w:tc>
          <w:tcPr>
            <w:tcW w:w="5400" w:type="dxa"/>
            <w:vAlign w:val="bottom"/>
          </w:tcPr>
          <w:p>
            <w:pPr>
              <w:spacing w:after="0"/>
              <w:rPr>
                <w:sz w:val="20"/>
                <w:szCs w:val="20"/>
                <w:color w:val="auto"/>
              </w:rPr>
            </w:pPr>
            <w:r>
              <w:rPr>
                <w:rFonts w:ascii="Times New Roman" w:cs="Times New Roman" w:eastAsia="Times New Roman" w:hAnsi="Times New Roman"/>
                <w:sz w:val="18"/>
                <w:szCs w:val="18"/>
                <w:color w:val="auto"/>
              </w:rPr>
              <w:t>Net (loss) profit</w:t>
            </w:r>
          </w:p>
        </w:tc>
        <w:tc>
          <w:tcPr>
            <w:tcW w:w="1640" w:type="dxa"/>
            <w:vAlign w:val="bottom"/>
          </w:tcPr>
          <w:p>
            <w:pPr>
              <w:jc w:val="right"/>
              <w:ind w:right="114"/>
              <w:spacing w:after="0"/>
              <w:rPr>
                <w:sz w:val="20"/>
                <w:szCs w:val="20"/>
                <w:color w:val="auto"/>
              </w:rPr>
            </w:pPr>
            <w:r>
              <w:rPr>
                <w:rFonts w:ascii="Times New Roman" w:cs="Times New Roman" w:eastAsia="Times New Roman" w:hAnsi="Times New Roman"/>
                <w:sz w:val="18"/>
                <w:szCs w:val="18"/>
                <w:color w:val="auto"/>
              </w:rPr>
              <w:t>(1.78)</w:t>
            </w:r>
          </w:p>
        </w:tc>
        <w:tc>
          <w:tcPr>
            <w:tcW w:w="1220" w:type="dxa"/>
            <w:vAlign w:val="bottom"/>
          </w:tcPr>
          <w:p>
            <w:pPr>
              <w:jc w:val="right"/>
              <w:ind w:right="193"/>
              <w:spacing w:after="0"/>
              <w:rPr>
                <w:sz w:val="20"/>
                <w:szCs w:val="20"/>
                <w:color w:val="auto"/>
              </w:rPr>
            </w:pPr>
            <w:r>
              <w:rPr>
                <w:rFonts w:ascii="Times New Roman" w:cs="Times New Roman" w:eastAsia="Times New Roman" w:hAnsi="Times New Roman"/>
                <w:sz w:val="18"/>
                <w:szCs w:val="18"/>
                <w:color w:val="auto"/>
              </w:rPr>
              <w:t>0.38</w:t>
            </w:r>
          </w:p>
        </w:tc>
        <w:tc>
          <w:tcPr>
            <w:tcW w:w="1040" w:type="dxa"/>
            <w:vAlign w:val="bottom"/>
          </w:tcPr>
          <w:p>
            <w:pPr>
              <w:jc w:val="right"/>
              <w:ind w:right="153"/>
              <w:spacing w:after="0"/>
              <w:rPr>
                <w:sz w:val="20"/>
                <w:szCs w:val="20"/>
                <w:color w:val="auto"/>
              </w:rPr>
            </w:pPr>
            <w:r>
              <w:rPr>
                <w:rFonts w:ascii="Times New Roman" w:cs="Times New Roman" w:eastAsia="Times New Roman" w:hAnsi="Times New Roman"/>
                <w:sz w:val="18"/>
                <w:szCs w:val="18"/>
                <w:color w:val="auto"/>
              </w:rPr>
              <w:t>(0.66)</w:t>
            </w:r>
          </w:p>
        </w:tc>
        <w:tc>
          <w:tcPr>
            <w:tcW w:w="880" w:type="dxa"/>
            <w:vAlign w:val="bottom"/>
          </w:tcPr>
          <w:p>
            <w:pPr>
              <w:jc w:val="right"/>
              <w:ind w:right="73"/>
              <w:spacing w:after="0"/>
              <w:rPr>
                <w:sz w:val="20"/>
                <w:szCs w:val="20"/>
                <w:color w:val="auto"/>
              </w:rPr>
            </w:pPr>
            <w:r>
              <w:rPr>
                <w:rFonts w:ascii="Times New Roman" w:cs="Times New Roman" w:eastAsia="Times New Roman" w:hAnsi="Times New Roman"/>
                <w:sz w:val="18"/>
                <w:szCs w:val="18"/>
                <w:color w:val="auto"/>
              </w:rPr>
              <w:t>168.7%</w:t>
            </w:r>
          </w:p>
        </w:tc>
        <w:tc>
          <w:tcPr>
            <w:tcW w:w="84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N/A</w:t>
            </w:r>
          </w:p>
        </w:tc>
        <w:tc>
          <w:tcPr>
            <w:tcW w:w="0" w:type="dxa"/>
            <w:vAlign w:val="bottom"/>
          </w:tcPr>
          <w:p>
            <w:pPr>
              <w:spacing w:after="0"/>
              <w:rPr>
                <w:sz w:val="1"/>
                <w:szCs w:val="1"/>
                <w:color w:val="auto"/>
              </w:rPr>
            </w:pPr>
          </w:p>
        </w:tc>
      </w:tr>
      <w:tr>
        <w:trPr>
          <w:trHeight w:val="216"/>
        </w:trPr>
        <w:tc>
          <w:tcPr>
            <w:tcW w:w="5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Non-GAAP net (loss) profit</w:t>
            </w:r>
          </w:p>
        </w:tc>
        <w:tc>
          <w:tcPr>
            <w:tcW w:w="1640" w:type="dxa"/>
            <w:vAlign w:val="bottom"/>
            <w:shd w:val="clear" w:color="auto" w:fill="CCEEFF"/>
          </w:tcPr>
          <w:p>
            <w:pPr>
              <w:jc w:val="right"/>
              <w:ind w:right="114"/>
              <w:spacing w:after="0"/>
              <w:rPr>
                <w:sz w:val="20"/>
                <w:szCs w:val="20"/>
                <w:color w:val="auto"/>
              </w:rPr>
            </w:pPr>
            <w:r>
              <w:rPr>
                <w:rFonts w:ascii="Times New Roman" w:cs="Times New Roman" w:eastAsia="Times New Roman" w:hAnsi="Times New Roman"/>
                <w:sz w:val="18"/>
                <w:szCs w:val="18"/>
                <w:color w:val="auto"/>
              </w:rPr>
              <w:t>(1.69)</w:t>
            </w:r>
          </w:p>
        </w:tc>
        <w:tc>
          <w:tcPr>
            <w:tcW w:w="1220" w:type="dxa"/>
            <w:vAlign w:val="bottom"/>
            <w:shd w:val="clear" w:color="auto" w:fill="CCEEFF"/>
          </w:tcPr>
          <w:p>
            <w:pPr>
              <w:jc w:val="right"/>
              <w:ind w:right="193"/>
              <w:spacing w:after="0"/>
              <w:rPr>
                <w:sz w:val="20"/>
                <w:szCs w:val="20"/>
                <w:color w:val="auto"/>
              </w:rPr>
            </w:pPr>
            <w:r>
              <w:rPr>
                <w:rFonts w:ascii="Times New Roman" w:cs="Times New Roman" w:eastAsia="Times New Roman" w:hAnsi="Times New Roman"/>
                <w:sz w:val="18"/>
                <w:szCs w:val="18"/>
                <w:color w:val="auto"/>
              </w:rPr>
              <w:t>0.51</w:t>
            </w:r>
          </w:p>
        </w:tc>
        <w:tc>
          <w:tcPr>
            <w:tcW w:w="1040" w:type="dxa"/>
            <w:vAlign w:val="bottom"/>
            <w:shd w:val="clear" w:color="auto" w:fill="CCEEFF"/>
          </w:tcPr>
          <w:p>
            <w:pPr>
              <w:jc w:val="right"/>
              <w:ind w:right="153"/>
              <w:spacing w:after="0"/>
              <w:rPr>
                <w:sz w:val="20"/>
                <w:szCs w:val="20"/>
                <w:color w:val="auto"/>
              </w:rPr>
            </w:pPr>
            <w:r>
              <w:rPr>
                <w:rFonts w:ascii="Times New Roman" w:cs="Times New Roman" w:eastAsia="Times New Roman" w:hAnsi="Times New Roman"/>
                <w:sz w:val="18"/>
                <w:szCs w:val="18"/>
                <w:color w:val="auto"/>
              </w:rPr>
              <w:t>(0.43)</w:t>
            </w:r>
          </w:p>
        </w:tc>
        <w:tc>
          <w:tcPr>
            <w:tcW w:w="880" w:type="dxa"/>
            <w:vAlign w:val="bottom"/>
            <w:shd w:val="clear" w:color="auto" w:fill="CCEEFF"/>
          </w:tcPr>
          <w:p>
            <w:pPr>
              <w:jc w:val="right"/>
              <w:ind w:right="73"/>
              <w:spacing w:after="0"/>
              <w:rPr>
                <w:sz w:val="20"/>
                <w:szCs w:val="20"/>
                <w:color w:val="auto"/>
              </w:rPr>
            </w:pPr>
            <w:r>
              <w:rPr>
                <w:rFonts w:ascii="Times New Roman" w:cs="Times New Roman" w:eastAsia="Times New Roman" w:hAnsi="Times New Roman"/>
                <w:sz w:val="18"/>
                <w:szCs w:val="18"/>
                <w:color w:val="auto"/>
              </w:rPr>
              <w:t>295.9%</w:t>
            </w:r>
          </w:p>
        </w:tc>
        <w:tc>
          <w:tcPr>
            <w:tcW w:w="84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N/A</w:t>
            </w:r>
          </w:p>
        </w:tc>
        <w:tc>
          <w:tcPr>
            <w:tcW w:w="0" w:type="dxa"/>
            <w:vAlign w:val="bottom"/>
          </w:tcPr>
          <w:p>
            <w:pPr>
              <w:spacing w:after="0"/>
              <w:rPr>
                <w:sz w:val="1"/>
                <w:szCs w:val="1"/>
                <w:color w:val="auto"/>
              </w:rPr>
            </w:pPr>
          </w:p>
        </w:tc>
      </w:tr>
      <w:tr>
        <w:trPr>
          <w:trHeight w:val="216"/>
        </w:trPr>
        <w:tc>
          <w:tcPr>
            <w:tcW w:w="5400" w:type="dxa"/>
            <w:vAlign w:val="bottom"/>
          </w:tcPr>
          <w:p>
            <w:pPr>
              <w:spacing w:after="0"/>
              <w:rPr>
                <w:sz w:val="20"/>
                <w:szCs w:val="20"/>
                <w:color w:val="auto"/>
              </w:rPr>
            </w:pPr>
            <w:r>
              <w:rPr>
                <w:rFonts w:ascii="Times New Roman" w:cs="Times New Roman" w:eastAsia="Times New Roman" w:hAnsi="Times New Roman"/>
                <w:sz w:val="18"/>
                <w:szCs w:val="18"/>
                <w:color w:val="auto"/>
              </w:rPr>
              <w:t>Net (loss) profit attributable to ordinary shareholders</w:t>
            </w:r>
          </w:p>
        </w:tc>
        <w:tc>
          <w:tcPr>
            <w:tcW w:w="1640" w:type="dxa"/>
            <w:vAlign w:val="bottom"/>
          </w:tcPr>
          <w:p>
            <w:pPr>
              <w:jc w:val="right"/>
              <w:ind w:right="114"/>
              <w:spacing w:after="0"/>
              <w:rPr>
                <w:sz w:val="20"/>
                <w:szCs w:val="20"/>
                <w:color w:val="auto"/>
              </w:rPr>
            </w:pPr>
            <w:r>
              <w:rPr>
                <w:rFonts w:ascii="Times New Roman" w:cs="Times New Roman" w:eastAsia="Times New Roman" w:hAnsi="Times New Roman"/>
                <w:sz w:val="18"/>
                <w:szCs w:val="18"/>
                <w:color w:val="auto"/>
              </w:rPr>
              <w:t>(1.78)</w:t>
            </w:r>
          </w:p>
        </w:tc>
        <w:tc>
          <w:tcPr>
            <w:tcW w:w="1220" w:type="dxa"/>
            <w:vAlign w:val="bottom"/>
          </w:tcPr>
          <w:p>
            <w:pPr>
              <w:jc w:val="right"/>
              <w:ind w:right="193"/>
              <w:spacing w:after="0"/>
              <w:rPr>
                <w:sz w:val="20"/>
                <w:szCs w:val="20"/>
                <w:color w:val="auto"/>
              </w:rPr>
            </w:pPr>
            <w:r>
              <w:rPr>
                <w:rFonts w:ascii="Times New Roman" w:cs="Times New Roman" w:eastAsia="Times New Roman" w:hAnsi="Times New Roman"/>
                <w:sz w:val="18"/>
                <w:szCs w:val="18"/>
                <w:color w:val="auto"/>
              </w:rPr>
              <w:t>0.38</w:t>
            </w:r>
          </w:p>
        </w:tc>
        <w:tc>
          <w:tcPr>
            <w:tcW w:w="1040" w:type="dxa"/>
            <w:vAlign w:val="bottom"/>
          </w:tcPr>
          <w:p>
            <w:pPr>
              <w:jc w:val="right"/>
              <w:ind w:right="153"/>
              <w:spacing w:after="0"/>
              <w:rPr>
                <w:sz w:val="20"/>
                <w:szCs w:val="20"/>
                <w:color w:val="auto"/>
              </w:rPr>
            </w:pPr>
            <w:r>
              <w:rPr>
                <w:rFonts w:ascii="Times New Roman" w:cs="Times New Roman" w:eastAsia="Times New Roman" w:hAnsi="Times New Roman"/>
                <w:sz w:val="18"/>
                <w:szCs w:val="18"/>
                <w:color w:val="auto"/>
              </w:rPr>
              <w:t>(0.66)</w:t>
            </w:r>
          </w:p>
        </w:tc>
        <w:tc>
          <w:tcPr>
            <w:tcW w:w="880" w:type="dxa"/>
            <w:vAlign w:val="bottom"/>
          </w:tcPr>
          <w:p>
            <w:pPr>
              <w:jc w:val="right"/>
              <w:ind w:right="73"/>
              <w:spacing w:after="0"/>
              <w:rPr>
                <w:sz w:val="20"/>
                <w:szCs w:val="20"/>
                <w:color w:val="auto"/>
              </w:rPr>
            </w:pPr>
            <w:r>
              <w:rPr>
                <w:rFonts w:ascii="Times New Roman" w:cs="Times New Roman" w:eastAsia="Times New Roman" w:hAnsi="Times New Roman"/>
                <w:sz w:val="18"/>
                <w:szCs w:val="18"/>
                <w:color w:val="auto"/>
              </w:rPr>
              <w:t>168.7%</w:t>
            </w:r>
          </w:p>
        </w:tc>
        <w:tc>
          <w:tcPr>
            <w:tcW w:w="84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N/A</w:t>
            </w:r>
          </w:p>
        </w:tc>
        <w:tc>
          <w:tcPr>
            <w:tcW w:w="0" w:type="dxa"/>
            <w:vAlign w:val="bottom"/>
          </w:tcPr>
          <w:p>
            <w:pPr>
              <w:spacing w:after="0"/>
              <w:rPr>
                <w:sz w:val="1"/>
                <w:szCs w:val="1"/>
                <w:color w:val="auto"/>
              </w:rPr>
            </w:pPr>
          </w:p>
        </w:tc>
      </w:tr>
      <w:tr>
        <w:trPr>
          <w:trHeight w:val="216"/>
        </w:trPr>
        <w:tc>
          <w:tcPr>
            <w:tcW w:w="5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Non-GAAP net (loss) profit attributable to ordinary shareholders</w:t>
            </w:r>
          </w:p>
        </w:tc>
        <w:tc>
          <w:tcPr>
            <w:tcW w:w="1640" w:type="dxa"/>
            <w:vAlign w:val="bottom"/>
            <w:shd w:val="clear" w:color="auto" w:fill="CCEEFF"/>
          </w:tcPr>
          <w:p>
            <w:pPr>
              <w:jc w:val="right"/>
              <w:ind w:right="114"/>
              <w:spacing w:after="0"/>
              <w:rPr>
                <w:sz w:val="20"/>
                <w:szCs w:val="20"/>
                <w:color w:val="auto"/>
              </w:rPr>
            </w:pPr>
            <w:r>
              <w:rPr>
                <w:rFonts w:ascii="Times New Roman" w:cs="Times New Roman" w:eastAsia="Times New Roman" w:hAnsi="Times New Roman"/>
                <w:sz w:val="18"/>
                <w:szCs w:val="18"/>
                <w:color w:val="auto"/>
              </w:rPr>
              <w:t>(1.69)</w:t>
            </w:r>
          </w:p>
        </w:tc>
        <w:tc>
          <w:tcPr>
            <w:tcW w:w="1220" w:type="dxa"/>
            <w:vAlign w:val="bottom"/>
            <w:shd w:val="clear" w:color="auto" w:fill="CCEEFF"/>
          </w:tcPr>
          <w:p>
            <w:pPr>
              <w:jc w:val="right"/>
              <w:ind w:right="193"/>
              <w:spacing w:after="0"/>
              <w:rPr>
                <w:sz w:val="20"/>
                <w:szCs w:val="20"/>
                <w:color w:val="auto"/>
              </w:rPr>
            </w:pPr>
            <w:r>
              <w:rPr>
                <w:rFonts w:ascii="Times New Roman" w:cs="Times New Roman" w:eastAsia="Times New Roman" w:hAnsi="Times New Roman"/>
                <w:sz w:val="18"/>
                <w:szCs w:val="18"/>
                <w:color w:val="auto"/>
              </w:rPr>
              <w:t>0.51</w:t>
            </w:r>
          </w:p>
        </w:tc>
        <w:tc>
          <w:tcPr>
            <w:tcW w:w="1040" w:type="dxa"/>
            <w:vAlign w:val="bottom"/>
            <w:shd w:val="clear" w:color="auto" w:fill="CCEEFF"/>
          </w:tcPr>
          <w:p>
            <w:pPr>
              <w:jc w:val="right"/>
              <w:ind w:right="153"/>
              <w:spacing w:after="0"/>
              <w:rPr>
                <w:sz w:val="20"/>
                <w:szCs w:val="20"/>
                <w:color w:val="auto"/>
              </w:rPr>
            </w:pPr>
            <w:r>
              <w:rPr>
                <w:rFonts w:ascii="Times New Roman" w:cs="Times New Roman" w:eastAsia="Times New Roman" w:hAnsi="Times New Roman"/>
                <w:sz w:val="18"/>
                <w:szCs w:val="18"/>
                <w:color w:val="auto"/>
              </w:rPr>
              <w:t>(0.43)</w:t>
            </w:r>
          </w:p>
        </w:tc>
        <w:tc>
          <w:tcPr>
            <w:tcW w:w="880" w:type="dxa"/>
            <w:vAlign w:val="bottom"/>
            <w:shd w:val="clear" w:color="auto" w:fill="CCEEFF"/>
          </w:tcPr>
          <w:p>
            <w:pPr>
              <w:jc w:val="right"/>
              <w:ind w:right="73"/>
              <w:spacing w:after="0"/>
              <w:rPr>
                <w:sz w:val="20"/>
                <w:szCs w:val="20"/>
                <w:color w:val="auto"/>
              </w:rPr>
            </w:pPr>
            <w:r>
              <w:rPr>
                <w:rFonts w:ascii="Times New Roman" w:cs="Times New Roman" w:eastAsia="Times New Roman" w:hAnsi="Times New Roman"/>
                <w:sz w:val="18"/>
                <w:szCs w:val="18"/>
                <w:color w:val="auto"/>
              </w:rPr>
              <w:t>295.9%</w:t>
            </w:r>
          </w:p>
        </w:tc>
        <w:tc>
          <w:tcPr>
            <w:tcW w:w="84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N/A</w:t>
            </w:r>
          </w:p>
        </w:tc>
        <w:tc>
          <w:tcPr>
            <w:tcW w:w="0" w:type="dxa"/>
            <w:vAlign w:val="bottom"/>
          </w:tcPr>
          <w:p>
            <w:pPr>
              <w:spacing w:after="0"/>
              <w:rPr>
                <w:sz w:val="1"/>
                <w:szCs w:val="1"/>
                <w:color w:val="auto"/>
              </w:rPr>
            </w:pPr>
          </w:p>
        </w:tc>
      </w:tr>
      <w:tr>
        <w:trPr>
          <w:trHeight w:val="234"/>
        </w:trPr>
        <w:tc>
          <w:tcPr>
            <w:tcW w:w="5400" w:type="dxa"/>
            <w:vAlign w:val="bottom"/>
          </w:tcPr>
          <w:p>
            <w:pPr>
              <w:spacing w:after="0"/>
              <w:rPr>
                <w:sz w:val="20"/>
                <w:szCs w:val="20"/>
                <w:color w:val="auto"/>
              </w:rPr>
            </w:pPr>
            <w:r>
              <w:rPr>
                <w:rFonts w:ascii="Times New Roman" w:cs="Times New Roman" w:eastAsia="Times New Roman" w:hAnsi="Times New Roman"/>
                <w:sz w:val="18"/>
                <w:szCs w:val="18"/>
                <w:color w:val="auto"/>
              </w:rPr>
              <w:t>Comprehensive (loss) profit attributable to ordinary shareholders</w:t>
            </w:r>
          </w:p>
        </w:tc>
        <w:tc>
          <w:tcPr>
            <w:tcW w:w="1640" w:type="dxa"/>
            <w:vAlign w:val="bottom"/>
          </w:tcPr>
          <w:p>
            <w:pPr>
              <w:jc w:val="right"/>
              <w:ind w:right="114"/>
              <w:spacing w:after="0"/>
              <w:rPr>
                <w:sz w:val="20"/>
                <w:szCs w:val="20"/>
                <w:color w:val="auto"/>
              </w:rPr>
            </w:pPr>
            <w:r>
              <w:rPr>
                <w:rFonts w:ascii="Times New Roman" w:cs="Times New Roman" w:eastAsia="Times New Roman" w:hAnsi="Times New Roman"/>
                <w:sz w:val="18"/>
                <w:szCs w:val="18"/>
                <w:color w:val="auto"/>
              </w:rPr>
              <w:t>(2.06)</w:t>
            </w:r>
          </w:p>
        </w:tc>
        <w:tc>
          <w:tcPr>
            <w:tcW w:w="1220" w:type="dxa"/>
            <w:vAlign w:val="bottom"/>
          </w:tcPr>
          <w:p>
            <w:pPr>
              <w:jc w:val="right"/>
              <w:ind w:right="193"/>
              <w:spacing w:after="0"/>
              <w:rPr>
                <w:sz w:val="20"/>
                <w:szCs w:val="20"/>
                <w:color w:val="auto"/>
              </w:rPr>
            </w:pPr>
            <w:r>
              <w:rPr>
                <w:rFonts w:ascii="Times New Roman" w:cs="Times New Roman" w:eastAsia="Times New Roman" w:hAnsi="Times New Roman"/>
                <w:sz w:val="18"/>
                <w:szCs w:val="18"/>
                <w:color w:val="auto"/>
              </w:rPr>
              <w:t>0.22</w:t>
            </w:r>
          </w:p>
        </w:tc>
        <w:tc>
          <w:tcPr>
            <w:tcW w:w="1040" w:type="dxa"/>
            <w:vAlign w:val="bottom"/>
          </w:tcPr>
          <w:p>
            <w:pPr>
              <w:jc w:val="right"/>
              <w:ind w:right="153"/>
              <w:spacing w:after="0"/>
              <w:rPr>
                <w:sz w:val="20"/>
                <w:szCs w:val="20"/>
                <w:color w:val="auto"/>
              </w:rPr>
            </w:pPr>
            <w:r>
              <w:rPr>
                <w:rFonts w:ascii="Times New Roman" w:cs="Times New Roman" w:eastAsia="Times New Roman" w:hAnsi="Times New Roman"/>
                <w:sz w:val="18"/>
                <w:szCs w:val="18"/>
                <w:color w:val="auto"/>
              </w:rPr>
              <w:t>(0.69)</w:t>
            </w:r>
          </w:p>
        </w:tc>
        <w:tc>
          <w:tcPr>
            <w:tcW w:w="880" w:type="dxa"/>
            <w:vAlign w:val="bottom"/>
          </w:tcPr>
          <w:p>
            <w:pPr>
              <w:jc w:val="right"/>
              <w:ind w:right="73"/>
              <w:spacing w:after="0"/>
              <w:rPr>
                <w:sz w:val="20"/>
                <w:szCs w:val="20"/>
                <w:color w:val="auto"/>
              </w:rPr>
            </w:pPr>
            <w:r>
              <w:rPr>
                <w:rFonts w:ascii="Times New Roman" w:cs="Times New Roman" w:eastAsia="Times New Roman" w:hAnsi="Times New Roman"/>
                <w:sz w:val="18"/>
                <w:szCs w:val="18"/>
                <w:color w:val="auto"/>
              </w:rPr>
              <w:t>198.4%</w:t>
            </w:r>
          </w:p>
        </w:tc>
        <w:tc>
          <w:tcPr>
            <w:tcW w:w="84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N/A</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82550</wp:posOffset>
            </wp:positionV>
            <wp:extent cx="771525"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71525" cy="8890"/>
                    </a:xfrm>
                    <a:prstGeom prst="rect">
                      <a:avLst/>
                    </a:prstGeom>
                    <a:noFill/>
                  </pic:spPr>
                </pic:pic>
              </a:graphicData>
            </a:graphic>
          </wp:anchor>
        </w:drawing>
      </w:r>
    </w:p>
    <w:p>
      <w:pPr>
        <w:spacing w:after="0" w:line="132" w:lineRule="exact"/>
        <w:rPr>
          <w:sz w:val="20"/>
          <w:szCs w:val="20"/>
          <w:color w:val="auto"/>
        </w:rPr>
      </w:pPr>
    </w:p>
    <w:p>
      <w:pPr>
        <w:ind w:left="5460" w:right="2620" w:hanging="5462"/>
        <w:spacing w:after="0" w:line="347" w:lineRule="auto"/>
        <w:rPr>
          <w:sz w:val="20"/>
          <w:szCs w:val="20"/>
          <w:color w:val="auto"/>
        </w:rPr>
      </w:pPr>
      <w:r>
        <w:rPr>
          <w:rFonts w:ascii="Times New Roman" w:cs="Times New Roman" w:eastAsia="Times New Roman" w:hAnsi="Times New Roman"/>
          <w:sz w:val="26"/>
          <w:szCs w:val="26"/>
          <w:color w:val="auto"/>
          <w:vertAlign w:val="superscript"/>
        </w:rPr>
        <w:t>ii</w:t>
      </w:r>
      <w:r>
        <w:rPr>
          <w:rFonts w:ascii="Times New Roman" w:cs="Times New Roman" w:eastAsia="Times New Roman" w:hAnsi="Times New Roman"/>
          <w:sz w:val="18"/>
          <w:szCs w:val="18"/>
          <w:color w:val="auto"/>
        </w:rPr>
        <w:t xml:space="preserve">  Except for vehicle margin and gross margin, where absolute changes instead of percentage changes are presented 2</w:t>
      </w:r>
    </w:p>
    <w:p>
      <w:pPr>
        <w:sectPr>
          <w:pgSz w:w="11900" w:h="16838" w:orient="portrait"/>
          <w:cols w:equalWidth="0" w:num="1">
            <w:col w:w="11020"/>
          </w:cols>
          <w:pgMar w:left="440" w:top="738" w:right="43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8"/>
          <w:szCs w:val="18"/>
          <w:b w:val="1"/>
          <w:bCs w:val="1"/>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74865" cy="3873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182880</wp:posOffset>
            </wp:positionV>
            <wp:extent cx="1251585" cy="14541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clrChange>
                        <a:clrFrom>
                          <a:srgbClr val="FFFFFF"/>
                        </a:clrFrom>
                        <a:clrTo>
                          <a:srgbClr val="FFFFFF">
                            <a:alpha val="0"/>
                          </a:srgbClr>
                        </a:clrTo>
                      </a:clrChange>
                      <a:extLst>
                        <a:ext uri="{28A0092B-C50C-407E-A947-70E740481C1C}"/>
                      </a:extLst>
                    </a:blip>
                    <a:srcRect/>
                    <a:stretch>
                      <a:fillRect/>
                    </a:stretch>
                  </pic:blipFill>
                  <pic:spPr bwMode="auto">
                    <a:xfrm>
                      <a:off x="0" y="0"/>
                      <a:ext cx="1251585" cy="145415"/>
                    </a:xfrm>
                    <a:prstGeom prst="rect">
                      <a:avLst/>
                    </a:prstGeom>
                    <a:noFill/>
                  </pic:spPr>
                </pic:pic>
              </a:graphicData>
            </a:graphic>
          </wp:anchor>
        </w:drawing>
        <w:t>Management Commentary</w:t>
      </w:r>
    </w:p>
    <w:p>
      <w:pPr>
        <w:spacing w:after="0" w:line="121" w:lineRule="exact"/>
        <w:rPr>
          <w:sz w:val="20"/>
          <w:szCs w:val="20"/>
          <w:color w:val="auto"/>
        </w:rPr>
      </w:pPr>
    </w:p>
    <w:p>
      <w:pPr>
        <w:ind w:right="100"/>
        <w:spacing w:after="0" w:line="289" w:lineRule="auto"/>
        <w:rPr>
          <w:sz w:val="20"/>
          <w:szCs w:val="20"/>
          <w:color w:val="auto"/>
        </w:rPr>
      </w:pPr>
      <w:r>
        <w:rPr>
          <w:rFonts w:ascii="Times New Roman" w:cs="Times New Roman" w:eastAsia="Times New Roman" w:hAnsi="Times New Roman"/>
          <w:sz w:val="17"/>
          <w:szCs w:val="17"/>
          <w:color w:val="auto"/>
        </w:rPr>
        <w:t>“Kickstarted by the successful launch of the GX, XPENG will deliver four new models this year, positioning us for a robust sales growth trajectory,” said Mr. Xiaopeng He, Chairman and CEO of XPENG. “This year, I am dedicated to leading our team to achieve the mass production of Robotaxis and humanoid robots. We are nurturing a global business ecosystem to transform physical AI technologies into new growth drivers for revenue and profit.”</w:t>
      </w:r>
    </w:p>
    <w:p>
      <w:pPr>
        <w:spacing w:after="0" w:line="158" w:lineRule="exact"/>
        <w:rPr>
          <w:sz w:val="20"/>
          <w:szCs w:val="20"/>
          <w:color w:val="auto"/>
        </w:rPr>
      </w:pPr>
    </w:p>
    <w:p>
      <w:pPr>
        <w:ind w:right="180"/>
        <w:spacing w:after="0" w:line="266" w:lineRule="auto"/>
        <w:rPr>
          <w:sz w:val="20"/>
          <w:szCs w:val="20"/>
          <w:color w:val="auto"/>
        </w:rPr>
      </w:pPr>
      <w:r>
        <w:rPr>
          <w:rFonts w:ascii="Times New Roman" w:cs="Times New Roman" w:eastAsia="Times New Roman" w:hAnsi="Times New Roman"/>
          <w:sz w:val="18"/>
          <w:szCs w:val="18"/>
          <w:color w:val="auto"/>
        </w:rPr>
        <w:t>“For the first quarter of 2026, our gross margin surpassed 20%. Our in-house technological innovation and surging international revenue enabled us to remain resilient through the industry’s seasonal slowdown,” added Dr. Hongdi Brian Gu, Vice Chairman and Co-President of XPENG. “We will accelerate the mass adoption and commercialization of physical AI applications as a corporate strategic priority.”</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Recent Developments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Deliveries in April 2026</w:t>
      </w:r>
    </w:p>
    <w:p>
      <w:pPr>
        <w:spacing w:after="0" w:line="135" w:lineRule="exact"/>
        <w:rPr>
          <w:sz w:val="20"/>
          <w:szCs w:val="20"/>
          <w:color w:val="auto"/>
        </w:rPr>
      </w:pPr>
    </w:p>
    <w:p>
      <w:pPr>
        <w:ind w:left="420" w:hanging="316"/>
        <w:spacing w:after="0"/>
        <w:tabs>
          <w:tab w:leader="none" w:pos="4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Total deliveries were 31,011 vehicles in April 2026.</w:t>
      </w:r>
    </w:p>
    <w:p>
      <w:pPr>
        <w:spacing w:after="0" w:line="130" w:lineRule="exact"/>
        <w:rPr>
          <w:rFonts w:ascii="Times New Roman" w:cs="Times New Roman" w:eastAsia="Times New Roman" w:hAnsi="Times New Roman"/>
          <w:sz w:val="18"/>
          <w:szCs w:val="18"/>
          <w:color w:val="auto"/>
        </w:rPr>
      </w:pPr>
    </w:p>
    <w:p>
      <w:pPr>
        <w:ind w:left="420" w:hanging="316"/>
        <w:spacing w:after="0"/>
        <w:tabs>
          <w:tab w:leader="none" w:pos="4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of April 30, 2026, year-to-date total deliveries were 93,693 vehicles.</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Launch of XPENG GX</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On May 20, 2026, XPENG launched the XPENG GX, its tech flagship SUV.</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Unaudited Financial Results for the Three Months Ended March 31, 2026</w:t>
      </w:r>
    </w:p>
    <w:p>
      <w:pPr>
        <w:spacing w:after="0" w:line="117" w:lineRule="exact"/>
        <w:rPr>
          <w:sz w:val="20"/>
          <w:szCs w:val="20"/>
          <w:color w:val="auto"/>
        </w:rPr>
      </w:pPr>
    </w:p>
    <w:p>
      <w:pPr>
        <w:ind w:right="60"/>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Total revenues </w:t>
      </w:r>
      <w:r>
        <w:rPr>
          <w:rFonts w:ascii="Times New Roman" w:cs="Times New Roman" w:eastAsia="Times New Roman" w:hAnsi="Times New Roman"/>
          <w:sz w:val="18"/>
          <w:szCs w:val="18"/>
          <w:color w:val="auto"/>
        </w:rPr>
        <w:t>were RMB13.03 billion (US$1.89 billion) for the first quarter of 2026, representing a decrease of 17.6% from RMB15.81 billion for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same period of 2025 and a decrease of 41.4% from RMB22.25 billion for the fourth quarter of 2025.</w:t>
      </w:r>
    </w:p>
    <w:p>
      <w:pPr>
        <w:spacing w:after="0" w:line="155" w:lineRule="exact"/>
        <w:rPr>
          <w:sz w:val="20"/>
          <w:szCs w:val="20"/>
          <w:color w:val="auto"/>
        </w:rPr>
      </w:pPr>
    </w:p>
    <w:p>
      <w:pPr>
        <w:ind w:right="120"/>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Revenues from vehicle sales </w:t>
      </w:r>
      <w:r>
        <w:rPr>
          <w:rFonts w:ascii="Times New Roman" w:cs="Times New Roman" w:eastAsia="Times New Roman" w:hAnsi="Times New Roman"/>
          <w:sz w:val="18"/>
          <w:szCs w:val="18"/>
          <w:color w:val="auto"/>
        </w:rPr>
        <w:t>were RMB11.00 billion (US$1.59 billion) for the first quarter of 2026, representing a decrease of 23.5% from</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RMB14.37 billion for the same period of 2025, and a decrease of 42.3% from RMB19.07 billion for the fourth quarter of 2025. The year-over-year and quarter-over-quarter decreases were mainly attributable to lower vehicle deliveries.</w:t>
      </w:r>
    </w:p>
    <w:p>
      <w:pPr>
        <w:spacing w:after="0" w:line="171" w:lineRule="exact"/>
        <w:rPr>
          <w:sz w:val="20"/>
          <w:szCs w:val="20"/>
          <w:color w:val="auto"/>
        </w:rPr>
      </w:pPr>
    </w:p>
    <w:p>
      <w:pPr>
        <w:spacing w:after="0" w:line="259" w:lineRule="auto"/>
        <w:rPr>
          <w:sz w:val="20"/>
          <w:szCs w:val="20"/>
          <w:color w:val="auto"/>
        </w:rPr>
      </w:pPr>
      <w:r>
        <w:rPr>
          <w:rFonts w:ascii="Times New Roman" w:cs="Times New Roman" w:eastAsia="Times New Roman" w:hAnsi="Times New Roman"/>
          <w:sz w:val="18"/>
          <w:szCs w:val="18"/>
          <w:b w:val="1"/>
          <w:bCs w:val="1"/>
          <w:color w:val="auto"/>
        </w:rPr>
        <w:t xml:space="preserve">Revenues from services and others </w:t>
      </w:r>
      <w:r>
        <w:rPr>
          <w:rFonts w:ascii="Times New Roman" w:cs="Times New Roman" w:eastAsia="Times New Roman" w:hAnsi="Times New Roman"/>
          <w:sz w:val="18"/>
          <w:szCs w:val="18"/>
          <w:color w:val="auto"/>
        </w:rPr>
        <w:t>were RMB2.03 billion (US$0.29 billion) for the first quarter of 2026, representing an increase of 41.2% from</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RMB1.44 billion for the same period of 2025 and a decrease of 36.1% from RMB3.18 billion for the fourth quarter of 2025. The year-over-year increase was primarily attributable to increased revenues from technical research and development services (“</w:t>
      </w:r>
      <w:r>
        <w:rPr>
          <w:rFonts w:ascii="Times New Roman" w:cs="Times New Roman" w:eastAsia="Times New Roman" w:hAnsi="Times New Roman"/>
          <w:sz w:val="18"/>
          <w:szCs w:val="18"/>
          <w:b w:val="1"/>
          <w:bCs w:val="1"/>
          <w:color w:val="auto"/>
        </w:rPr>
        <w:t>technical R&amp;D services</w:t>
      </w:r>
      <w:r>
        <w:rPr>
          <w:rFonts w:ascii="Times New Roman" w:cs="Times New Roman" w:eastAsia="Times New Roman" w:hAnsi="Times New Roman"/>
          <w:sz w:val="18"/>
          <w:szCs w:val="18"/>
          <w:color w:val="auto"/>
        </w:rPr>
        <w:t>”) and parts and accessories sales. The quarter-over-quarter decrease was primarily due to the reduction in technical R&amp;D services revenues following a significant milestone catch-up in the prior quarter, as well as no revenue contribution from carbon credit trading in the current quarter.</w:t>
      </w:r>
    </w:p>
    <w:p>
      <w:pPr>
        <w:spacing w:after="0" w:line="11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1000"/>
          </w:cols>
          <w:pgMar w:left="440" w:top="738" w:right="459" w:bottom="1440" w:gutter="0" w:footer="0" w:header="0"/>
        </w:sectPr>
      </w:pPr>
    </w:p>
    <w:bookmarkStart w:id="6" w:name="page7"/>
    <w:bookmarkEnd w:id="6"/>
    <w:p>
      <w:pPr>
        <w:ind w:right="240"/>
        <w:spacing w:after="0" w:line="268" w:lineRule="auto"/>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74865" cy="38100"/>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182880</wp:posOffset>
            </wp:positionV>
            <wp:extent cx="1251585" cy="14541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clrChange>
                        <a:clrFrom>
                          <a:srgbClr val="FFFFFF"/>
                        </a:clrFrom>
                        <a:clrTo>
                          <a:srgbClr val="FFFFFF">
                            <a:alpha val="0"/>
                          </a:srgbClr>
                        </a:clrTo>
                      </a:clrChange>
                      <a:extLst>
                        <a:ext uri="{28A0092B-C50C-407E-A947-70E740481C1C}"/>
                      </a:extLst>
                    </a:blip>
                    <a:srcRect/>
                    <a:stretch>
                      <a:fillRect/>
                    </a:stretch>
                  </pic:blipFill>
                  <pic:spPr bwMode="auto">
                    <a:xfrm>
                      <a:off x="0" y="0"/>
                      <a:ext cx="1251585" cy="145415"/>
                    </a:xfrm>
                    <a:prstGeom prst="rect">
                      <a:avLst/>
                    </a:prstGeom>
                    <a:noFill/>
                  </pic:spPr>
                </pic:pic>
              </a:graphicData>
            </a:graphic>
          </wp:anchor>
        </w:drawing>
        <w:t xml:space="preserve">Cost of sales </w:t>
      </w:r>
      <w:r>
        <w:rPr>
          <w:rFonts w:ascii="Times New Roman" w:cs="Times New Roman" w:eastAsia="Times New Roman" w:hAnsi="Times New Roman"/>
          <w:sz w:val="18"/>
          <w:szCs w:val="18"/>
          <w:color w:val="auto"/>
        </w:rPr>
        <w:t>was RMB10.35 billion (US$1.50 billion) for the first quarter of 2026, representing a decrease of 22.5% from RMB13.35 billion for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same period of 2025 and a decrease of 40.9% from RMB17.51 billion for the fourth quarter of 2025. The year-over-year and quarter-over-quarter decreases were mainly in line with vehicle deliveries as described above.</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Gross margin </w:t>
      </w:r>
      <w:r>
        <w:rPr>
          <w:rFonts w:ascii="Times New Roman" w:cs="Times New Roman" w:eastAsia="Times New Roman" w:hAnsi="Times New Roman"/>
          <w:sz w:val="18"/>
          <w:szCs w:val="18"/>
          <w:color w:val="auto"/>
        </w:rPr>
        <w:t>was 20.6% for the first quarter of 2026, compared with 15.6% for the same period of 2025 and 21.3% for the fourth quarter of 2025.</w:t>
      </w:r>
    </w:p>
    <w:p>
      <w:pPr>
        <w:spacing w:after="0" w:line="225" w:lineRule="exact"/>
        <w:rPr>
          <w:sz w:val="20"/>
          <w:szCs w:val="20"/>
          <w:color w:val="auto"/>
        </w:rPr>
      </w:pPr>
    </w:p>
    <w:p>
      <w:pPr>
        <w:ind w:right="240"/>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Vehicle margin </w:t>
      </w:r>
      <w:r>
        <w:rPr>
          <w:rFonts w:ascii="Times New Roman" w:cs="Times New Roman" w:eastAsia="Times New Roman" w:hAnsi="Times New Roman"/>
          <w:sz w:val="18"/>
          <w:szCs w:val="18"/>
          <w:color w:val="auto"/>
        </w:rPr>
        <w:t>was 12.1% for the first quarter of 2026, compared with 10.5% for the same period of 2025 and 13.0% for the fourth quarter of 2025.</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year-over-year increase was primarily attributable to the cost reduction and improvement in product mix of models. The quarter-over-quarter decrease was due to higher unit vehicle costs resulting from increased memory chip and battery related costs.</w:t>
      </w:r>
    </w:p>
    <w:p>
      <w:pPr>
        <w:spacing w:after="0" w:line="171" w:lineRule="exact"/>
        <w:rPr>
          <w:sz w:val="20"/>
          <w:szCs w:val="20"/>
          <w:color w:val="auto"/>
        </w:rPr>
      </w:pPr>
    </w:p>
    <w:p>
      <w:pPr>
        <w:ind w:right="120"/>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Services and others margin </w:t>
      </w:r>
      <w:r>
        <w:rPr>
          <w:rFonts w:ascii="Times New Roman" w:cs="Times New Roman" w:eastAsia="Times New Roman" w:hAnsi="Times New Roman"/>
          <w:sz w:val="18"/>
          <w:szCs w:val="18"/>
          <w:color w:val="auto"/>
        </w:rPr>
        <w:t>was 66.5% for the first quarter of 2026, compared with 66.4% for the same period of 2025 and 70.8% for the fourth</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quarter of 2025. The quarter-over-quarter decrease was due to a decreased share of the revenue from technical R&amp;D services and parts and accessories sales within total services and other revenue.</w:t>
      </w:r>
    </w:p>
    <w:p>
      <w:pPr>
        <w:spacing w:after="0" w:line="171" w:lineRule="exact"/>
        <w:rPr>
          <w:sz w:val="20"/>
          <w:szCs w:val="20"/>
          <w:color w:val="auto"/>
        </w:rPr>
      </w:pPr>
    </w:p>
    <w:p>
      <w:pPr>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Research and development expenses </w:t>
      </w:r>
      <w:r>
        <w:rPr>
          <w:rFonts w:ascii="Times New Roman" w:cs="Times New Roman" w:eastAsia="Times New Roman" w:hAnsi="Times New Roman"/>
          <w:sz w:val="18"/>
          <w:szCs w:val="18"/>
          <w:color w:val="auto"/>
        </w:rPr>
        <w:t>were RMB2.91 billion (US$0.42 billion) for the first quarter of 2026, representing an increase of 46.8% from</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RMB1.98 billion for the same period of 2025 and an increase of 1.1% from RMB2.87 billion for the fourth quarter of 2025. The year-over-year increase was mainly due to higher expenses related to the development of new vehicle models and AI-related technologies as the Company expanded its product portfolio to support future growth.</w:t>
      </w:r>
    </w:p>
    <w:p>
      <w:pPr>
        <w:spacing w:after="0" w:line="176" w:lineRule="exact"/>
        <w:rPr>
          <w:sz w:val="20"/>
          <w:szCs w:val="20"/>
          <w:color w:val="auto"/>
        </w:rPr>
      </w:pPr>
    </w:p>
    <w:p>
      <w:pPr>
        <w:jc w:val="both"/>
        <w:ind w:right="200"/>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Selling, general and administrative expenses </w:t>
      </w:r>
      <w:r>
        <w:rPr>
          <w:rFonts w:ascii="Times New Roman" w:cs="Times New Roman" w:eastAsia="Times New Roman" w:hAnsi="Times New Roman"/>
          <w:sz w:val="18"/>
          <w:szCs w:val="18"/>
          <w:color w:val="auto"/>
        </w:rPr>
        <w:t>were RMB1.88 billion (US$0.27 billion) for the first quarter of 2026, representing a decrease of 3.2%</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from RMB1.95 billion for the same period of 2025 and a decrease of 32.5% from RMB2.79 billion for the fourth quarter of 2025. The year-over-year and quarter-over-quarter decreases were primarily due to the lower commission to the franchised stores.</w:t>
      </w:r>
    </w:p>
    <w:p>
      <w:pPr>
        <w:spacing w:after="0" w:line="171" w:lineRule="exact"/>
        <w:rPr>
          <w:sz w:val="20"/>
          <w:szCs w:val="20"/>
          <w:color w:val="auto"/>
        </w:rPr>
      </w:pPr>
    </w:p>
    <w:p>
      <w:pPr>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Other income, net </w:t>
      </w:r>
      <w:r>
        <w:rPr>
          <w:rFonts w:ascii="Times New Roman" w:cs="Times New Roman" w:eastAsia="Times New Roman" w:hAnsi="Times New Roman"/>
          <w:sz w:val="18"/>
          <w:szCs w:val="18"/>
          <w:color w:val="auto"/>
        </w:rPr>
        <w:t>was RMB0.18 billion (US$0.03 billion) for the first quarter of 2026, representing a decrease of 66.5% from RMB0.54 billion for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same period of 2025 and a decrease of 78.3% from RMB0.84 billion for the fourth quarter of 2025. The year-over-year and quarter-over-quarter decreases were primarily due to the decrease in receipt of government subsidies.</w:t>
      </w:r>
    </w:p>
    <w:p>
      <w:pPr>
        <w:spacing w:after="0" w:line="171" w:lineRule="exact"/>
        <w:rPr>
          <w:sz w:val="20"/>
          <w:szCs w:val="20"/>
          <w:color w:val="auto"/>
        </w:rPr>
      </w:pPr>
    </w:p>
    <w:p>
      <w:pPr>
        <w:ind w:right="180"/>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Fair value (loss) gain on derivative liability relating to the contingent consideration </w:t>
      </w:r>
      <w:r>
        <w:rPr>
          <w:rFonts w:ascii="Times New Roman" w:cs="Times New Roman" w:eastAsia="Times New Roman" w:hAnsi="Times New Roman"/>
          <w:sz w:val="18"/>
          <w:szCs w:val="18"/>
          <w:color w:val="auto"/>
        </w:rPr>
        <w:t>was a gain of RMB0.05 billion (US$0.01 billion) for the first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quarter of 2026, compared with a loss of RMB0.12 billion for the same period of 2025 and a gain of RMB0.04 billion for the fourth quarter of 2025. This non-cash (loss) gain resulted from the fair value change of the contingent consideration related to the acquisition of DiDi Global Inc. (“</w:t>
      </w:r>
      <w:r>
        <w:rPr>
          <w:rFonts w:ascii="Times New Roman" w:cs="Times New Roman" w:eastAsia="Times New Roman" w:hAnsi="Times New Roman"/>
          <w:sz w:val="18"/>
          <w:szCs w:val="18"/>
          <w:b w:val="1"/>
          <w:bCs w:val="1"/>
          <w:color w:val="auto"/>
        </w:rPr>
        <w:t>DiDi</w:t>
      </w:r>
      <w:r>
        <w:rPr>
          <w:rFonts w:ascii="Times New Roman" w:cs="Times New Roman" w:eastAsia="Times New Roman" w:hAnsi="Times New Roman"/>
          <w:sz w:val="18"/>
          <w:szCs w:val="18"/>
          <w:color w:val="auto"/>
        </w:rPr>
        <w:t>”)’s smart auto business.</w:t>
      </w:r>
    </w:p>
    <w:p>
      <w:pPr>
        <w:spacing w:after="0" w:line="176" w:lineRule="exact"/>
        <w:rPr>
          <w:sz w:val="20"/>
          <w:szCs w:val="20"/>
          <w:color w:val="auto"/>
        </w:rPr>
      </w:pPr>
    </w:p>
    <w:p>
      <w:pPr>
        <w:ind w:right="340"/>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Loss from operations </w:t>
      </w:r>
      <w:r>
        <w:rPr>
          <w:rFonts w:ascii="Times New Roman" w:cs="Times New Roman" w:eastAsia="Times New Roman" w:hAnsi="Times New Roman"/>
          <w:sz w:val="18"/>
          <w:szCs w:val="18"/>
          <w:color w:val="auto"/>
        </w:rPr>
        <w:t>was RMB1.87 billion (US$0.27 billion) for the first quarter of 2026, compared with RMB1.04 billion for the same period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2025 and RMB0.04 billion for the fourth quarter of 2025.</w:t>
      </w:r>
    </w:p>
    <w:p>
      <w:pPr>
        <w:spacing w:after="0" w:line="155" w:lineRule="exact"/>
        <w:rPr>
          <w:sz w:val="20"/>
          <w:szCs w:val="20"/>
          <w:color w:val="auto"/>
        </w:rPr>
      </w:pPr>
    </w:p>
    <w:p>
      <w:pPr>
        <w:jc w:val="both"/>
        <w:ind w:right="160"/>
        <w:spacing w:after="0" w:line="268" w:lineRule="auto"/>
        <w:rPr>
          <w:sz w:val="20"/>
          <w:szCs w:val="20"/>
          <w:color w:val="auto"/>
        </w:rPr>
      </w:pPr>
      <w:r>
        <w:rPr>
          <w:rFonts w:ascii="Times New Roman" w:cs="Times New Roman" w:eastAsia="Times New Roman" w:hAnsi="Times New Roman"/>
          <w:sz w:val="18"/>
          <w:szCs w:val="18"/>
          <w:b w:val="1"/>
          <w:bCs w:val="1"/>
          <w:color w:val="auto"/>
        </w:rPr>
        <w:t>Non-GAAP loss from operations</w:t>
      </w:r>
      <w:r>
        <w:rPr>
          <w:rFonts w:ascii="Times New Roman" w:cs="Times New Roman" w:eastAsia="Times New Roman" w:hAnsi="Times New Roman"/>
          <w:sz w:val="18"/>
          <w:szCs w:val="18"/>
          <w:color w:val="auto"/>
        </w:rPr>
        <w:t>, which excludes share-based compensation expenses and fair value loss (gain) on derivative liability relating to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contingent consideration, was RMB1.78 billion (US$0.26 billion) for the first quarter of 2026, compared with a loss of RMB0.80 billion for the same period of 2025 and a profit of RMB0.08 billion for the fourth quarter of 2025.</w:t>
      </w:r>
    </w:p>
    <w:p>
      <w:pPr>
        <w:spacing w:after="0" w:line="171" w:lineRule="exact"/>
        <w:rPr>
          <w:sz w:val="20"/>
          <w:szCs w:val="20"/>
          <w:color w:val="auto"/>
        </w:rPr>
      </w:pPr>
    </w:p>
    <w:p>
      <w:pPr>
        <w:ind w:right="20"/>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Net loss </w:t>
      </w:r>
      <w:r>
        <w:rPr>
          <w:rFonts w:ascii="Times New Roman" w:cs="Times New Roman" w:eastAsia="Times New Roman" w:hAnsi="Times New Roman"/>
          <w:sz w:val="18"/>
          <w:szCs w:val="18"/>
          <w:color w:val="auto"/>
        </w:rPr>
        <w:t>was RMB1.78 billion (US$0.26 billion) for the first quarter of 2026, compared with a loss of RMB0.66 billion for the same period of 2025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 profit of RMB0.38 billion for the fourth quarter of 2025.</w:t>
      </w:r>
    </w:p>
    <w:p>
      <w:pPr>
        <w:spacing w:after="0" w:line="9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4</w:t>
      </w:r>
    </w:p>
    <w:p>
      <w:pPr>
        <w:sectPr>
          <w:pgSz w:w="11900" w:h="16838" w:orient="portrait"/>
          <w:cols w:equalWidth="0" w:num="1">
            <w:col w:w="10960"/>
          </w:cols>
          <w:pgMar w:left="440" w:top="738" w:right="499" w:bottom="1440" w:gutter="0" w:footer="0" w:header="0"/>
        </w:sectPr>
      </w:pPr>
    </w:p>
    <w:bookmarkStart w:id="7" w:name="page8"/>
    <w:bookmarkEnd w:id="7"/>
    <w:p>
      <w:pPr>
        <w:jc w:val="both"/>
        <w:ind w:right="320"/>
        <w:spacing w:after="0" w:line="268" w:lineRule="auto"/>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74865" cy="38100"/>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182880</wp:posOffset>
            </wp:positionV>
            <wp:extent cx="1251585" cy="14541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clrChange>
                        <a:clrFrom>
                          <a:srgbClr val="FFFFFF"/>
                        </a:clrFrom>
                        <a:clrTo>
                          <a:srgbClr val="FFFFFF">
                            <a:alpha val="0"/>
                          </a:srgbClr>
                        </a:clrTo>
                      </a:clrChange>
                      <a:extLst>
                        <a:ext uri="{28A0092B-C50C-407E-A947-70E740481C1C}"/>
                      </a:extLst>
                    </a:blip>
                    <a:srcRect/>
                    <a:stretch>
                      <a:fillRect/>
                    </a:stretch>
                  </pic:blipFill>
                  <pic:spPr bwMode="auto">
                    <a:xfrm>
                      <a:off x="0" y="0"/>
                      <a:ext cx="1251585" cy="145415"/>
                    </a:xfrm>
                    <a:prstGeom prst="rect">
                      <a:avLst/>
                    </a:prstGeom>
                    <a:noFill/>
                  </pic:spPr>
                </pic:pic>
              </a:graphicData>
            </a:graphic>
          </wp:anchor>
        </w:drawing>
        <w:t>Non-GAAP net loss</w:t>
      </w:r>
      <w:r>
        <w:rPr>
          <w:rFonts w:ascii="Times New Roman" w:cs="Times New Roman" w:eastAsia="Times New Roman" w:hAnsi="Times New Roman"/>
          <w:sz w:val="18"/>
          <w:szCs w:val="18"/>
          <w:color w:val="auto"/>
        </w:rPr>
        <w:t>, which excludes share-based compensation expenses and fair value loss (gain) on derivative liability relating to the contingent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consideration, was RMB1.69 billion (US$0.24 billion) for the first quarter of 2026, compared with a loss of RMB0.43 billion for the same period of 2025 and a profit of RMB0.51 billion for the fourth quarter of 2025.</w:t>
      </w:r>
    </w:p>
    <w:p>
      <w:pPr>
        <w:spacing w:after="0" w:line="171" w:lineRule="exact"/>
        <w:rPr>
          <w:sz w:val="20"/>
          <w:szCs w:val="20"/>
          <w:color w:val="auto"/>
        </w:rPr>
      </w:pPr>
    </w:p>
    <w:p>
      <w:pPr>
        <w:ind w:right="60"/>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Net loss attributable to ordinary shareholders of XPENG </w:t>
      </w:r>
      <w:r>
        <w:rPr>
          <w:rFonts w:ascii="Times New Roman" w:cs="Times New Roman" w:eastAsia="Times New Roman" w:hAnsi="Times New Roman"/>
          <w:sz w:val="18"/>
          <w:szCs w:val="18"/>
          <w:color w:val="auto"/>
        </w:rPr>
        <w:t>was RMB1.78 billion (US$0.26 billion) for the first quarter of 2026, compared with a loss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of RMB0.66 billion for the same period of 2025 and a profit of RMB0.38 billion for the fourth quarter of 2025.</w:t>
      </w:r>
    </w:p>
    <w:p>
      <w:pPr>
        <w:spacing w:after="0" w:line="155"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color w:val="auto"/>
        </w:rPr>
        <w:t>Non-GAAP net loss attributable to ordinary shareholders of XPENG</w:t>
      </w:r>
      <w:r>
        <w:rPr>
          <w:rFonts w:ascii="Times New Roman" w:cs="Times New Roman" w:eastAsia="Times New Roman" w:hAnsi="Times New Roman"/>
          <w:sz w:val="18"/>
          <w:szCs w:val="18"/>
          <w:color w:val="auto"/>
        </w:rPr>
        <w:t>, which excludes share-based compensation expenses and fair value loss (gain)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on derivative liability relating to the contingent consideration, was RMB1.69 billion (US$0.24 billion) for the first quarter of 2026, compared with a loss of RMB0.43 billion for the same period of 2025 and a profit of RMB0.51 billion for the fourth quarter of 2025.</w:t>
      </w:r>
    </w:p>
    <w:p>
      <w:pPr>
        <w:spacing w:after="0" w:line="171" w:lineRule="exact"/>
        <w:rPr>
          <w:sz w:val="20"/>
          <w:szCs w:val="20"/>
          <w:color w:val="auto"/>
        </w:rPr>
      </w:pPr>
    </w:p>
    <w:p>
      <w:pPr>
        <w:ind w:right="220"/>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Basic and diluted net loss per ADS </w:t>
      </w:r>
      <w:r>
        <w:rPr>
          <w:rFonts w:ascii="Times New Roman" w:cs="Times New Roman" w:eastAsia="Times New Roman" w:hAnsi="Times New Roman"/>
          <w:sz w:val="18"/>
          <w:szCs w:val="18"/>
          <w:color w:val="auto"/>
        </w:rPr>
        <w:t>were both RMB1.87 (US$0.27) for the first quarter of 2026, compared with RMB0.70 basic and diluted net loss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per ADS for the first quarter of 2025 and RMB0.40 basic and diluted net profit per ADS for the fourth quarter of 2025.</w:t>
      </w:r>
    </w:p>
    <w:p>
      <w:pPr>
        <w:spacing w:after="0" w:line="155" w:lineRule="exact"/>
        <w:rPr>
          <w:sz w:val="20"/>
          <w:szCs w:val="20"/>
          <w:color w:val="auto"/>
        </w:rPr>
      </w:pPr>
    </w:p>
    <w:p>
      <w:pPr>
        <w:jc w:val="both"/>
        <w:ind w:right="300"/>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Non-GAAP basic and diluted net loss per ADS </w:t>
      </w:r>
      <w:r>
        <w:rPr>
          <w:rFonts w:ascii="Times New Roman" w:cs="Times New Roman" w:eastAsia="Times New Roman" w:hAnsi="Times New Roman"/>
          <w:sz w:val="18"/>
          <w:szCs w:val="18"/>
          <w:color w:val="auto"/>
        </w:rPr>
        <w:t>were both RMB1.76 (US$0.26) for the first quarter of 2026, compared with RMB0.45 non-GAAP</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basic and diluted net loss per ADS for the first quarter of 2025 and RMB0.53 and RMB0.52 non-GAAP basic and diluted net profit per ADS for the fourth quarter of 2025, respectively.</w:t>
      </w:r>
    </w:p>
    <w:p>
      <w:pPr>
        <w:spacing w:after="0" w:line="2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Balance Sheets</w:t>
      </w:r>
    </w:p>
    <w:p>
      <w:pPr>
        <w:spacing w:after="0" w:line="121" w:lineRule="exact"/>
        <w:rPr>
          <w:sz w:val="20"/>
          <w:szCs w:val="20"/>
          <w:color w:val="auto"/>
        </w:rPr>
      </w:pPr>
    </w:p>
    <w:p>
      <w:pPr>
        <w:ind w:right="340"/>
        <w:spacing w:after="0" w:line="282" w:lineRule="auto"/>
        <w:rPr>
          <w:sz w:val="20"/>
          <w:szCs w:val="20"/>
          <w:color w:val="auto"/>
        </w:rPr>
      </w:pPr>
      <w:r>
        <w:rPr>
          <w:rFonts w:ascii="Times New Roman" w:cs="Times New Roman" w:eastAsia="Times New Roman" w:hAnsi="Times New Roman"/>
          <w:sz w:val="18"/>
          <w:szCs w:val="18"/>
          <w:color w:val="auto"/>
        </w:rPr>
        <w:t>As of March 31, 2026, the Company had a cash position of RMB42.09 billion (US$6.10 billion), compared with RMB45.28 billion as of March 31, 2025 and RMB47.66 billion as of December 31, 2025.</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Business Outlook</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 the second quarter of 2026, the Company expects:</w:t>
      </w:r>
    </w:p>
    <w:p>
      <w:pPr>
        <w:spacing w:after="0" w:line="127" w:lineRule="exact"/>
        <w:rPr>
          <w:sz w:val="20"/>
          <w:szCs w:val="20"/>
          <w:color w:val="auto"/>
        </w:rPr>
      </w:pPr>
    </w:p>
    <w:p>
      <w:pPr>
        <w:ind w:left="960" w:right="60" w:hanging="532"/>
        <w:spacing w:after="0" w:line="286" w:lineRule="auto"/>
        <w:tabs>
          <w:tab w:leader="none" w:pos="9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Deliveries of vehicles </w:t>
      </w:r>
      <w:r>
        <w:rPr>
          <w:rFonts w:ascii="Times New Roman" w:cs="Times New Roman" w:eastAsia="Times New Roman" w:hAnsi="Times New Roman"/>
          <w:sz w:val="18"/>
          <w:szCs w:val="18"/>
          <w:color w:val="auto"/>
        </w:rPr>
        <w:t>to be between 100,000 and 106,000, representing a year-over-year change of approximately -3.08% to +2.73%,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 quarter-over-quarter increase of approximately 59.54% to 69.11%.</w:t>
      </w:r>
    </w:p>
    <w:p>
      <w:pPr>
        <w:spacing w:after="0" w:line="60" w:lineRule="exact"/>
        <w:rPr>
          <w:rFonts w:ascii="Times New Roman" w:cs="Times New Roman" w:eastAsia="Times New Roman" w:hAnsi="Times New Roman"/>
          <w:sz w:val="18"/>
          <w:szCs w:val="18"/>
          <w:color w:val="auto"/>
        </w:rPr>
      </w:pPr>
    </w:p>
    <w:p>
      <w:pPr>
        <w:ind w:left="960" w:right="20" w:hanging="532"/>
        <w:spacing w:after="0" w:line="286" w:lineRule="auto"/>
        <w:tabs>
          <w:tab w:leader="none" w:pos="9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Total revenues </w:t>
      </w:r>
      <w:r>
        <w:rPr>
          <w:rFonts w:ascii="Times New Roman" w:cs="Times New Roman" w:eastAsia="Times New Roman" w:hAnsi="Times New Roman"/>
          <w:sz w:val="18"/>
          <w:szCs w:val="18"/>
          <w:color w:val="auto"/>
        </w:rPr>
        <w:t>to be between RMB19.60 billion and RMB20.80 billion, representing a year-over-year increase of approximately 7.25% to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13.82%, and a quarter-over-quarter increase of approximately 50.38% to 59.59%.</w:t>
      </w:r>
    </w:p>
    <w:p>
      <w:pPr>
        <w:spacing w:after="0" w:line="159" w:lineRule="exact"/>
        <w:rPr>
          <w:sz w:val="20"/>
          <w:szCs w:val="20"/>
          <w:color w:val="auto"/>
        </w:rPr>
      </w:pPr>
    </w:p>
    <w:p>
      <w:pPr>
        <w:ind w:right="120"/>
        <w:spacing w:after="0" w:line="282" w:lineRule="auto"/>
        <w:rPr>
          <w:sz w:val="20"/>
          <w:szCs w:val="20"/>
          <w:color w:val="auto"/>
        </w:rPr>
      </w:pPr>
      <w:r>
        <w:rPr>
          <w:rFonts w:ascii="Times New Roman" w:cs="Times New Roman" w:eastAsia="Times New Roman" w:hAnsi="Times New Roman"/>
          <w:sz w:val="18"/>
          <w:szCs w:val="18"/>
          <w:color w:val="auto"/>
        </w:rPr>
        <w:t>The above outlook is based on the current market conditions and reflects the Company’s preliminary estimates of market and operating conditions, and customer demand, which are all subject to change.</w:t>
      </w:r>
    </w:p>
    <w:p>
      <w:pPr>
        <w:spacing w:after="0" w:line="9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w:t>
      </w:r>
    </w:p>
    <w:p>
      <w:pPr>
        <w:sectPr>
          <w:pgSz w:w="11900" w:h="16838" w:orient="portrait"/>
          <w:cols w:equalWidth="0" w:num="1">
            <w:col w:w="10980"/>
          </w:cols>
          <w:pgMar w:left="440" w:top="738" w:right="47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8"/>
          <w:szCs w:val="18"/>
          <w:b w:val="1"/>
          <w:bCs w:val="1"/>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74865" cy="38100"/>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182880</wp:posOffset>
            </wp:positionV>
            <wp:extent cx="1251585" cy="14541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clrChange>
                        <a:clrFrom>
                          <a:srgbClr val="FFFFFF"/>
                        </a:clrFrom>
                        <a:clrTo>
                          <a:srgbClr val="FFFFFF">
                            <a:alpha val="0"/>
                          </a:srgbClr>
                        </a:clrTo>
                      </a:clrChange>
                      <a:extLst>
                        <a:ext uri="{28A0092B-C50C-407E-A947-70E740481C1C}"/>
                      </a:extLst>
                    </a:blip>
                    <a:srcRect/>
                    <a:stretch>
                      <a:fillRect/>
                    </a:stretch>
                  </pic:blipFill>
                  <pic:spPr bwMode="auto">
                    <a:xfrm>
                      <a:off x="0" y="0"/>
                      <a:ext cx="1251585" cy="145415"/>
                    </a:xfrm>
                    <a:prstGeom prst="rect">
                      <a:avLst/>
                    </a:prstGeom>
                    <a:noFill/>
                  </pic:spPr>
                </pic:pic>
              </a:graphicData>
            </a:graphic>
          </wp:anchor>
        </w:drawing>
        <w:t>Conference Call</w:t>
      </w:r>
    </w:p>
    <w:p>
      <w:pPr>
        <w:spacing w:after="0" w:line="121" w:lineRule="exact"/>
        <w:rPr>
          <w:sz w:val="20"/>
          <w:szCs w:val="20"/>
          <w:color w:val="auto"/>
        </w:rPr>
      </w:pPr>
    </w:p>
    <w:p>
      <w:pPr>
        <w:ind w:right="60"/>
        <w:spacing w:after="0" w:line="282" w:lineRule="auto"/>
        <w:rPr>
          <w:sz w:val="20"/>
          <w:szCs w:val="20"/>
          <w:color w:val="auto"/>
        </w:rPr>
      </w:pPr>
      <w:r>
        <w:rPr>
          <w:rFonts w:ascii="Times New Roman" w:cs="Times New Roman" w:eastAsia="Times New Roman" w:hAnsi="Times New Roman"/>
          <w:sz w:val="18"/>
          <w:szCs w:val="18"/>
          <w:color w:val="auto"/>
        </w:rPr>
        <w:t>The Company’s management will host an earnings conference call at 7:00 AM U.S. Eastern Time on May 28, 2026 (7:00 PM Beijing/Hong Kong Time on May 28, 2026).</w:t>
      </w:r>
    </w:p>
    <w:p>
      <w:pPr>
        <w:spacing w:after="0" w:line="162" w:lineRule="exact"/>
        <w:rPr>
          <w:sz w:val="20"/>
          <w:szCs w:val="20"/>
          <w:color w:val="auto"/>
        </w:rPr>
      </w:pPr>
    </w:p>
    <w:p>
      <w:pPr>
        <w:ind w:right="80"/>
        <w:spacing w:after="0" w:line="282" w:lineRule="auto"/>
        <w:rPr>
          <w:sz w:val="20"/>
          <w:szCs w:val="20"/>
          <w:color w:val="auto"/>
        </w:rPr>
      </w:pPr>
      <w:r>
        <w:rPr>
          <w:rFonts w:ascii="Times New Roman" w:cs="Times New Roman" w:eastAsia="Times New Roman" w:hAnsi="Times New Roman"/>
          <w:sz w:val="18"/>
          <w:szCs w:val="18"/>
          <w:color w:val="auto"/>
        </w:rPr>
        <w:t>For participants who wish to join the call by phone, please access the link provided below to complete the pre-registration process and dial in 5 minutes prior to the scheduled call start time. Upon registration, each participant will receive dial-in details to join the conference call.</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200" w:type="dxa"/>
            <w:vAlign w:val="bottom"/>
          </w:tcPr>
          <w:p>
            <w:pPr>
              <w:spacing w:after="0"/>
              <w:rPr>
                <w:sz w:val="20"/>
                <w:szCs w:val="20"/>
                <w:color w:val="auto"/>
              </w:rPr>
            </w:pPr>
            <w:r>
              <w:rPr>
                <w:rFonts w:ascii="Times New Roman" w:cs="Times New Roman" w:eastAsia="Times New Roman" w:hAnsi="Times New Roman"/>
                <w:sz w:val="18"/>
                <w:szCs w:val="18"/>
                <w:color w:val="auto"/>
              </w:rPr>
              <w:t>Event Title:</w:t>
            </w:r>
          </w:p>
        </w:tc>
        <w:tc>
          <w:tcPr>
            <w:tcW w:w="4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XPENG First Quarter 2026 Earnings Conference Call</w:t>
            </w:r>
          </w:p>
        </w:tc>
      </w:tr>
      <w:tr>
        <w:trPr>
          <w:trHeight w:val="194"/>
        </w:trPr>
        <w:tc>
          <w:tcPr>
            <w:tcW w:w="2200" w:type="dxa"/>
            <w:vAlign w:val="bottom"/>
          </w:tcPr>
          <w:p>
            <w:pPr>
              <w:spacing w:after="0" w:line="194" w:lineRule="exact"/>
              <w:rPr>
                <w:sz w:val="20"/>
                <w:szCs w:val="20"/>
                <w:color w:val="auto"/>
              </w:rPr>
            </w:pPr>
            <w:r>
              <w:rPr>
                <w:rFonts w:ascii="Times New Roman" w:cs="Times New Roman" w:eastAsia="Times New Roman" w:hAnsi="Times New Roman"/>
                <w:sz w:val="18"/>
                <w:szCs w:val="18"/>
                <w:color w:val="auto"/>
              </w:rPr>
              <w:t>Pre-registration link:</w:t>
            </w:r>
          </w:p>
        </w:tc>
        <w:tc>
          <w:tcPr>
            <w:tcW w:w="4160" w:type="dxa"/>
            <w:vAlign w:val="bottom"/>
            <w:tcBorders>
              <w:bottom w:val="single" w:sz="8" w:color="auto"/>
            </w:tcBorders>
          </w:tcPr>
          <w:p>
            <w:pPr>
              <w:ind w:left="20"/>
              <w:spacing w:after="0" w:line="194" w:lineRule="exact"/>
              <w:rPr>
                <w:sz w:val="20"/>
                <w:szCs w:val="20"/>
                <w:color w:val="auto"/>
              </w:rPr>
            </w:pPr>
            <w:r>
              <w:rPr>
                <w:rFonts w:ascii="Times New Roman" w:cs="Times New Roman" w:eastAsia="Times New Roman" w:hAnsi="Times New Roman"/>
                <w:sz w:val="18"/>
                <w:szCs w:val="18"/>
                <w:color w:val="auto"/>
                <w:w w:val="99"/>
              </w:rPr>
              <w:t>https://s1.c-conf.com/diamondpass/10054534-c1s7jl.html</w:t>
            </w:r>
          </w:p>
        </w:tc>
      </w:tr>
    </w:tbl>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Additionally, a live and archived webcast of the conference call will be available on the Company’s investor relations website at </w:t>
      </w:r>
      <w:r>
        <w:rPr>
          <w:rFonts w:ascii="Times New Roman" w:cs="Times New Roman" w:eastAsia="Times New Roman" w:hAnsi="Times New Roman"/>
          <w:sz w:val="18"/>
          <w:szCs w:val="18"/>
          <w:u w:val="single" w:color="auto"/>
          <w:color w:val="auto"/>
        </w:rPr>
        <w:t>http://ir.xiaopeng.com</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380"/>
        <w:spacing w:after="0" w:line="282" w:lineRule="auto"/>
        <w:rPr>
          <w:sz w:val="20"/>
          <w:szCs w:val="20"/>
          <w:color w:val="auto"/>
        </w:rPr>
      </w:pPr>
      <w:r>
        <w:rPr>
          <w:rFonts w:ascii="Times New Roman" w:cs="Times New Roman" w:eastAsia="Times New Roman" w:hAnsi="Times New Roman"/>
          <w:sz w:val="18"/>
          <w:szCs w:val="18"/>
          <w:color w:val="auto"/>
        </w:rPr>
        <w:t>A replay of the conference call will be accessible approximately an hour after the conclusion of the call until June 4, 2026, by dialing the following telephone numbers:</w:t>
      </w:r>
    </w:p>
    <w:p>
      <w:pPr>
        <w:spacing w:after="0" w:line="6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880" w:type="dxa"/>
            <w:vAlign w:val="bottom"/>
          </w:tcPr>
          <w:p>
            <w:pPr>
              <w:spacing w:after="0"/>
              <w:rPr>
                <w:sz w:val="20"/>
                <w:szCs w:val="20"/>
                <w:color w:val="auto"/>
              </w:rPr>
            </w:pPr>
            <w:r>
              <w:rPr>
                <w:rFonts w:ascii="Times New Roman" w:cs="Times New Roman" w:eastAsia="Times New Roman" w:hAnsi="Times New Roman"/>
                <w:sz w:val="18"/>
                <w:szCs w:val="18"/>
                <w:color w:val="auto"/>
              </w:rPr>
              <w:t>United States:</w:t>
            </w:r>
          </w:p>
        </w:tc>
        <w:tc>
          <w:tcPr>
            <w:tcW w:w="1600" w:type="dxa"/>
            <w:vAlign w:val="bottom"/>
          </w:tcPr>
          <w:p>
            <w:pPr>
              <w:ind w:left="340"/>
              <w:spacing w:after="0"/>
              <w:rPr>
                <w:sz w:val="20"/>
                <w:szCs w:val="20"/>
                <w:color w:val="auto"/>
              </w:rPr>
            </w:pPr>
            <w:r>
              <w:rPr>
                <w:rFonts w:ascii="Times New Roman" w:cs="Times New Roman" w:eastAsia="Times New Roman" w:hAnsi="Times New Roman"/>
                <w:sz w:val="18"/>
                <w:szCs w:val="18"/>
                <w:color w:val="auto"/>
                <w:w w:val="97"/>
              </w:rPr>
              <w:t>+1-855-883-1031</w:t>
            </w:r>
          </w:p>
        </w:tc>
      </w:tr>
      <w:tr>
        <w:trPr>
          <w:trHeight w:val="216"/>
        </w:trPr>
        <w:tc>
          <w:tcPr>
            <w:tcW w:w="1880" w:type="dxa"/>
            <w:vAlign w:val="bottom"/>
          </w:tcPr>
          <w:p>
            <w:pPr>
              <w:spacing w:after="0"/>
              <w:rPr>
                <w:sz w:val="20"/>
                <w:szCs w:val="20"/>
                <w:color w:val="auto"/>
              </w:rPr>
            </w:pPr>
            <w:r>
              <w:rPr>
                <w:rFonts w:ascii="Times New Roman" w:cs="Times New Roman" w:eastAsia="Times New Roman" w:hAnsi="Times New Roman"/>
                <w:sz w:val="18"/>
                <w:szCs w:val="18"/>
                <w:color w:val="auto"/>
              </w:rPr>
              <w:t>International:</w:t>
            </w:r>
          </w:p>
        </w:tc>
        <w:tc>
          <w:tcPr>
            <w:tcW w:w="1600" w:type="dxa"/>
            <w:vAlign w:val="bottom"/>
          </w:tcPr>
          <w:p>
            <w:pPr>
              <w:ind w:left="340"/>
              <w:spacing w:after="0"/>
              <w:rPr>
                <w:sz w:val="20"/>
                <w:szCs w:val="20"/>
                <w:color w:val="auto"/>
              </w:rPr>
            </w:pPr>
            <w:r>
              <w:rPr>
                <w:rFonts w:ascii="Times New Roman" w:cs="Times New Roman" w:eastAsia="Times New Roman" w:hAnsi="Times New Roman"/>
                <w:sz w:val="18"/>
                <w:szCs w:val="18"/>
                <w:color w:val="auto"/>
                <w:w w:val="97"/>
              </w:rPr>
              <w:t>+61-7-3107-6325</w:t>
            </w:r>
          </w:p>
        </w:tc>
      </w:tr>
      <w:tr>
        <w:trPr>
          <w:trHeight w:val="216"/>
        </w:trPr>
        <w:tc>
          <w:tcPr>
            <w:tcW w:w="1880" w:type="dxa"/>
            <w:vAlign w:val="bottom"/>
          </w:tcPr>
          <w:p>
            <w:pPr>
              <w:spacing w:after="0"/>
              <w:rPr>
                <w:sz w:val="20"/>
                <w:szCs w:val="20"/>
                <w:color w:val="auto"/>
              </w:rPr>
            </w:pPr>
            <w:r>
              <w:rPr>
                <w:rFonts w:ascii="Times New Roman" w:cs="Times New Roman" w:eastAsia="Times New Roman" w:hAnsi="Times New Roman"/>
                <w:sz w:val="18"/>
                <w:szCs w:val="18"/>
                <w:color w:val="auto"/>
              </w:rPr>
              <w:t>Hong Kong, China:</w:t>
            </w:r>
          </w:p>
        </w:tc>
        <w:tc>
          <w:tcPr>
            <w:tcW w:w="16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800-930-639</w:t>
            </w:r>
          </w:p>
        </w:tc>
      </w:tr>
      <w:tr>
        <w:trPr>
          <w:trHeight w:val="216"/>
        </w:trPr>
        <w:tc>
          <w:tcPr>
            <w:tcW w:w="1880" w:type="dxa"/>
            <w:vAlign w:val="bottom"/>
          </w:tcPr>
          <w:p>
            <w:pPr>
              <w:spacing w:after="0"/>
              <w:rPr>
                <w:sz w:val="20"/>
                <w:szCs w:val="20"/>
                <w:color w:val="auto"/>
              </w:rPr>
            </w:pPr>
            <w:r>
              <w:rPr>
                <w:rFonts w:ascii="Times New Roman" w:cs="Times New Roman" w:eastAsia="Times New Roman" w:hAnsi="Times New Roman"/>
                <w:sz w:val="18"/>
                <w:szCs w:val="18"/>
                <w:color w:val="auto"/>
              </w:rPr>
              <w:t>Chinese Mainland:</w:t>
            </w:r>
          </w:p>
        </w:tc>
        <w:tc>
          <w:tcPr>
            <w:tcW w:w="16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400-120-9216</w:t>
            </w:r>
          </w:p>
        </w:tc>
      </w:tr>
      <w:tr>
        <w:trPr>
          <w:trHeight w:val="234"/>
        </w:trPr>
        <w:tc>
          <w:tcPr>
            <w:tcW w:w="1880" w:type="dxa"/>
            <w:vAlign w:val="bottom"/>
          </w:tcPr>
          <w:p>
            <w:pPr>
              <w:spacing w:after="0"/>
              <w:rPr>
                <w:sz w:val="20"/>
                <w:szCs w:val="20"/>
                <w:color w:val="auto"/>
              </w:rPr>
            </w:pPr>
            <w:r>
              <w:rPr>
                <w:rFonts w:ascii="Times New Roman" w:cs="Times New Roman" w:eastAsia="Times New Roman" w:hAnsi="Times New Roman"/>
                <w:sz w:val="18"/>
                <w:szCs w:val="18"/>
                <w:color w:val="auto"/>
              </w:rPr>
              <w:t>Replay Access Code:</w:t>
            </w:r>
          </w:p>
        </w:tc>
        <w:tc>
          <w:tcPr>
            <w:tcW w:w="16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10054534</w:t>
            </w:r>
          </w:p>
        </w:tc>
      </w:tr>
    </w:tbl>
    <w:p>
      <w:pPr>
        <w:spacing w:after="0" w:line="3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About XPENG</w:t>
      </w:r>
    </w:p>
    <w:p>
      <w:pPr>
        <w:spacing w:after="0" w:line="121"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 xml:space="preserve">XPENG is a leading Chinese Smart EV and NEV company that designs, develops, manufactures, and markets Smart EVs and NEVs that appeal to the large and growing base of technology-savvy middle-class consumers. Its mission is to become a smart technology company trusted and loved by users worldwide. In order to optimize its customers’ mobility experience, XPENG develops in-house its full-stack advanced driver-assistance system technology and in-car intelligent operating system, as well as core vehicle systems including powertrain and the electrical/electronic architecture. XPENG is headquartered in Guangzhou, China, with main offices in Beijing, Shanghai, Shenzhen, Silicon Valley and San Diego. The Company’s Smart EVs and NEVs are mainly manufactured at its plants in Zhaoqing and Guangzhou, Guangdong province. For more information, please visit </w:t>
      </w:r>
      <w:r>
        <w:rPr>
          <w:rFonts w:ascii="Times New Roman" w:cs="Times New Roman" w:eastAsia="Times New Roman" w:hAnsi="Times New Roman"/>
          <w:sz w:val="18"/>
          <w:szCs w:val="18"/>
          <w:u w:val="single" w:color="auto"/>
          <w:color w:val="auto"/>
        </w:rPr>
        <w:t>https://www.xpeng.com/</w:t>
      </w:r>
      <w:r>
        <w:rPr>
          <w:rFonts w:ascii="Times New Roman" w:cs="Times New Roman" w:eastAsia="Times New Roman" w:hAnsi="Times New Roman"/>
          <w:sz w:val="18"/>
          <w:szCs w:val="18"/>
          <w:color w:val="auto"/>
        </w:rPr>
        <w:t>.</w:t>
      </w: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Use of Non-GAAP Financial Measures</w:t>
      </w:r>
    </w:p>
    <w:p>
      <w:pPr>
        <w:spacing w:after="0" w:line="121"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The Company uses non-GAAP measures, such as non-GAAP (loss) profit from operations, non-GAAP net (loss) profit, non-GAAP net (loss) profit attributable to ordinary shareholders, non-GAAP basic (loss) profit per ordinary share and non-GAAP basic (loss) profit per ADS, in evaluating its operating results and for financial and operational decision-making purposes. By excluding the impact of share-based compensation expenses and fair value loss (gain) on derivative liability relating to the contingent consideration, the Company believes that the non-GAAP financial measures help identify underlying trends in its business and enhance the overall understanding of the Company’s past performance and future prospects. The Company also believes that the non-GAAP financial measures allow for greater visibility with respect to key metrics used by the Company’s management in its financial and operational decision-making. The non-GAAP financial measures are not presented in accordance with U.S. GAAP and may be different from non-GAAP methods of accounting and reporting used by other companies. The non-GAAP financial measures have limitations as analytical tools and when assessing the Company’s operating performance, investors should not consider them in isolation, or as a substitute for net (loss) profit or other consolidated statements of comprehensive (loss) profit data prepared in accordance with U.S. GAAP. The Company encourages investors and others to review its financial information in its entirety and not rely on a single financial measure. The Company mitigates these limitations by reconciling the non-GAAP financial measures to the most comparable U.S. GAAP performance measures, all of which should be considered when evaluating the Company’s performance.</w:t>
      </w:r>
    </w:p>
    <w:p>
      <w:pPr>
        <w:spacing w:after="0" w:line="12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6</w:t>
      </w:r>
    </w:p>
    <w:p>
      <w:pPr>
        <w:sectPr>
          <w:pgSz w:w="11900" w:h="16838" w:orient="portrait"/>
          <w:cols w:equalWidth="0" w:num="1">
            <w:col w:w="10980"/>
          </w:cols>
          <w:pgMar w:left="440" w:top="738" w:right="479" w:bottom="1440" w:gutter="0" w:footer="0" w:header="0"/>
        </w:sectPr>
      </w:pPr>
    </w:p>
    <w:bookmarkStart w:id="9" w:name="page10"/>
    <w:bookmarkEnd w:id="9"/>
    <w:p>
      <w:pPr>
        <w:ind w:right="520"/>
        <w:spacing w:after="0" w:line="28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74865" cy="38100"/>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182880</wp:posOffset>
            </wp:positionV>
            <wp:extent cx="1251585" cy="14541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clrChange>
                        <a:clrFrom>
                          <a:srgbClr val="FFFFFF"/>
                        </a:clrFrom>
                        <a:clrTo>
                          <a:srgbClr val="FFFFFF">
                            <a:alpha val="0"/>
                          </a:srgbClr>
                        </a:clrTo>
                      </a:clrChange>
                      <a:extLst>
                        <a:ext uri="{28A0092B-C50C-407E-A947-70E740481C1C}"/>
                      </a:extLst>
                    </a:blip>
                    <a:srcRect/>
                    <a:stretch>
                      <a:fillRect/>
                    </a:stretch>
                  </pic:blipFill>
                  <pic:spPr bwMode="auto">
                    <a:xfrm>
                      <a:off x="0" y="0"/>
                      <a:ext cx="1251585" cy="145415"/>
                    </a:xfrm>
                    <a:prstGeom prst="rect">
                      <a:avLst/>
                    </a:prstGeom>
                    <a:noFill/>
                  </pic:spPr>
                </pic:pic>
              </a:graphicData>
            </a:graphic>
          </wp:anchor>
        </w:drawing>
        <w:t>For more information on the non-GAAP financial measures, please see the table captioned “Unaudited Reconciliations of GAAP and non-GAAP Results” set forth in this announcement.</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Exchange Rate Information</w:t>
      </w:r>
    </w:p>
    <w:p>
      <w:pPr>
        <w:spacing w:after="0" w:line="121" w:lineRule="exact"/>
        <w:rPr>
          <w:sz w:val="20"/>
          <w:szCs w:val="20"/>
          <w:color w:val="auto"/>
        </w:rPr>
      </w:pPr>
    </w:p>
    <w:p>
      <w:pPr>
        <w:jc w:val="both"/>
        <w:ind w:right="200"/>
        <w:spacing w:after="0" w:line="261" w:lineRule="auto"/>
        <w:rPr>
          <w:sz w:val="20"/>
          <w:szCs w:val="20"/>
          <w:color w:val="auto"/>
        </w:rPr>
      </w:pPr>
      <w:r>
        <w:rPr>
          <w:rFonts w:ascii="Times New Roman" w:cs="Times New Roman" w:eastAsia="Times New Roman" w:hAnsi="Times New Roman"/>
          <w:sz w:val="18"/>
          <w:szCs w:val="18"/>
          <w:color w:val="auto"/>
        </w:rPr>
        <w:t>This announcement contains translations of certain RMB amounts into U.S. dollars at a specified rate solely for the convenience of the reader. Unless otherwise noted, all translations from RMB to U.S. dollars and from U.S. dollars to RMB are made at a rate of RMB6.8980 to US$1.00, the exchange rate on March 31, 2026, set forth in the H.10 statistical release of the Federal Reserve Board. The Company makes no representation that the RMB or U.S. dollar amounts referred to could be converted into U.S. dollars or RMB, as the case may be, at any particular rate or at all.</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Safe Harbor Statement</w:t>
      </w:r>
    </w:p>
    <w:p>
      <w:pPr>
        <w:spacing w:after="0" w:line="121"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This announcement contains forward-looking statements. These statements are made under the “safe harbor” provisions of the United States Private Securities Litigation Reform Act of 1995. These forward-looking statements can be identified by terminology such as “will,” “expects,” “anticipates,” “future,” “intends,” “plans,” “believes,” “estimates” and similar statements. Statements that are not historical facts, including statements about XPENG’s beliefs and expectations, are forward-looking statements. Forward-looking statements involve inherent risks and uncertainties. A number of factors could cause actual results to differ materially from those contained in any forward-looking statement, including but not limited to the following: XPENG’s goal and strategies; XPENG’s expansion plans; XPENG’s future business development, financial condition and results of operations; the trends in, and size of, China’s EV market; XPENG’s expectations regarding demand for, and market acceptance of, its products and services; XPENG’s expectations regarding its relationships with customers, suppliers, third-party service providers, strategic partners and other stakeholders; general economic and business conditions; and assumptions underlying or related to any of the foregoing. Further information regarding these and other risks is included in XPENG’s filings with the United States Securities and Exchange Commission. All information provided in this announcement is as of the date of this announcement, and XPENG does not undertake any obligation to update any forward-looking statement, except as required under applicable law.</w:t>
      </w:r>
    </w:p>
    <w:p>
      <w:pPr>
        <w:spacing w:after="0" w:line="2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 Investor Enquiries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IR Department</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XPeng Inc.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E-mail: ir@xiaopeng.com</w:t>
      </w:r>
    </w:p>
    <w:p>
      <w:pPr>
        <w:spacing w:after="0" w:line="3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Jenny Cai</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Piacente Financial Communications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Tel: +1-212-481-2050 or +86-10-6508-0677</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E-mail: xpeng@tpg-ir.com</w:t>
      </w:r>
    </w:p>
    <w:p>
      <w:pPr>
        <w:spacing w:after="0" w:line="13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w:t>
      </w:r>
    </w:p>
    <w:p>
      <w:pPr>
        <w:sectPr>
          <w:pgSz w:w="11900" w:h="16838" w:orient="portrait"/>
          <w:cols w:equalWidth="0" w:num="1">
            <w:col w:w="10980"/>
          </w:cols>
          <w:pgMar w:left="440" w:top="742" w:right="47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74865" cy="3873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183515</wp:posOffset>
            </wp:positionV>
            <wp:extent cx="1251585" cy="14605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clrChange>
                        <a:clrFrom>
                          <a:srgbClr val="FFFFFF"/>
                        </a:clrFrom>
                        <a:clrTo>
                          <a:srgbClr val="FFFFFF">
                            <a:alpha val="0"/>
                          </a:srgbClr>
                        </a:clrTo>
                      </a:clrChange>
                      <a:extLst>
                        <a:ext uri="{28A0092B-C50C-407E-A947-70E740481C1C}"/>
                      </a:extLst>
                    </a:blip>
                    <a:srcRect/>
                    <a:stretch>
                      <a:fillRect/>
                    </a:stretch>
                  </pic:blipFill>
                  <pic:spPr bwMode="auto">
                    <a:xfrm>
                      <a:off x="0" y="0"/>
                      <a:ext cx="1251585" cy="146050"/>
                    </a:xfrm>
                    <a:prstGeom prst="rect">
                      <a:avLst/>
                    </a:prstGeom>
                    <a:noFill/>
                  </pic:spPr>
                </pic:pic>
              </a:graphicData>
            </a:graphic>
          </wp:anchor>
        </w:drawing>
        <w:t>For Media Enquiries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 Department</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XPeng Inc.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E-mail: pr@xiaopeng.com</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Source: XPeng Inc.</w:t>
      </w:r>
    </w:p>
    <w:p>
      <w:pPr>
        <w:spacing w:after="0" w:line="158" w:lineRule="exact"/>
        <w:rPr>
          <w:sz w:val="20"/>
          <w:szCs w:val="20"/>
          <w:color w:val="auto"/>
        </w:rPr>
      </w:pPr>
    </w:p>
    <w:p>
      <w:pPr>
        <w:jc w:val="right"/>
        <w:ind w:right="4479"/>
        <w:spacing w:after="0"/>
        <w:rPr>
          <w:sz w:val="20"/>
          <w:szCs w:val="20"/>
          <w:color w:val="auto"/>
        </w:rPr>
      </w:pPr>
      <w:r>
        <w:rPr>
          <w:rFonts w:ascii="Times New Roman" w:cs="Times New Roman" w:eastAsia="Times New Roman" w:hAnsi="Times New Roman"/>
          <w:sz w:val="18"/>
          <w:szCs w:val="18"/>
          <w:color w:val="auto"/>
        </w:rPr>
        <w:t>8</w:t>
      </w:r>
    </w:p>
    <w:p>
      <w:pPr>
        <w:sectPr>
          <w:pgSz w:w="11900" w:h="16838" w:orient="portrait"/>
          <w:cols w:equalWidth="0" w:num="1">
            <w:col w:w="10019"/>
          </w:cols>
          <w:pgMar w:left="440" w:top="738" w:right="1440" w:bottom="1440" w:gutter="0" w:footer="0" w:header="0"/>
        </w:sectPr>
      </w:pPr>
    </w:p>
    <w:bookmarkStart w:id="11" w:name="page12"/>
    <w:bookmarkEnd w:id="11"/>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74865" cy="3873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183515</wp:posOffset>
            </wp:positionV>
            <wp:extent cx="1251585" cy="14605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clrChange>
                        <a:clrFrom>
                          <a:srgbClr val="FFFFFF"/>
                        </a:clrFrom>
                        <a:clrTo>
                          <a:srgbClr val="FFFFFF">
                            <a:alpha val="0"/>
                          </a:srgbClr>
                        </a:clrTo>
                      </a:clrChange>
                      <a:extLst>
                        <a:ext uri="{28A0092B-C50C-407E-A947-70E740481C1C}"/>
                      </a:extLst>
                    </a:blip>
                    <a:srcRect/>
                    <a:stretch>
                      <a:fillRect/>
                    </a:stretch>
                  </pic:blipFill>
                  <pic:spPr bwMode="auto">
                    <a:xfrm>
                      <a:off x="0" y="0"/>
                      <a:ext cx="1251585" cy="146050"/>
                    </a:xfrm>
                    <a:prstGeom prst="rect">
                      <a:avLst/>
                    </a:prstGeom>
                    <a:noFill/>
                  </pic:spPr>
                </pic:pic>
              </a:graphicData>
            </a:graphic>
          </wp:anchor>
        </w:drawing>
        <w:t>XPENG INC.</w:t>
      </w:r>
    </w:p>
    <w:p>
      <w:pPr>
        <w:spacing w:after="0" w:line="3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UNAUDITED CONDENSED CONSOLIDATED BALANCE SHEETS</w:t>
      </w:r>
    </w:p>
    <w:p>
      <w:pPr>
        <w:spacing w:after="0" w:line="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(All amounts in thousands, except for ADS/ordinary share and per ADS/ordinary share data)</w:t>
      </w:r>
    </w:p>
    <w:p>
      <w:pPr>
        <w:spacing w:after="0" w:line="21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620" w:type="dxa"/>
            <w:vAlign w:val="bottom"/>
          </w:tcPr>
          <w:p>
            <w:pPr>
              <w:spacing w:after="0"/>
              <w:rPr>
                <w:sz w:val="13"/>
                <w:szCs w:val="13"/>
                <w:color w:val="auto"/>
              </w:rPr>
            </w:pPr>
          </w:p>
        </w:tc>
        <w:tc>
          <w:tcPr>
            <w:tcW w:w="3240" w:type="dxa"/>
            <w:vAlign w:val="bottom"/>
          </w:tcPr>
          <w:p>
            <w:pPr>
              <w:spacing w:after="0"/>
              <w:rPr>
                <w:sz w:val="13"/>
                <w:szCs w:val="13"/>
                <w:color w:val="auto"/>
              </w:rPr>
            </w:pPr>
          </w:p>
        </w:tc>
        <w:tc>
          <w:tcPr>
            <w:tcW w:w="1120" w:type="dxa"/>
            <w:vAlign w:val="bottom"/>
            <w:gridSpan w:val="2"/>
          </w:tcPr>
          <w:p>
            <w:pPr>
              <w:jc w:val="center"/>
              <w:ind w:right="180"/>
              <w:spacing w:after="0"/>
              <w:rPr>
                <w:sz w:val="20"/>
                <w:szCs w:val="20"/>
                <w:color w:val="auto"/>
              </w:rPr>
            </w:pPr>
            <w:r>
              <w:rPr>
                <w:rFonts w:ascii="Times New Roman" w:cs="Times New Roman" w:eastAsia="Times New Roman" w:hAnsi="Times New Roman"/>
                <w:sz w:val="14"/>
                <w:szCs w:val="14"/>
                <w:color w:val="auto"/>
              </w:rPr>
              <w:t>December 31,</w:t>
            </w:r>
          </w:p>
        </w:tc>
        <w:tc>
          <w:tcPr>
            <w:tcW w:w="1120" w:type="dxa"/>
            <w:vAlign w:val="bottom"/>
            <w:gridSpan w:val="2"/>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920" w:type="dxa"/>
            <w:vAlign w:val="bottom"/>
            <w:gridSpan w:val="2"/>
          </w:tcPr>
          <w:p>
            <w:pPr>
              <w:jc w:val="center"/>
              <w:ind w:right="60"/>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0" w:type="dxa"/>
            <w:vAlign w:val="bottom"/>
          </w:tcPr>
          <w:p>
            <w:pPr>
              <w:spacing w:after="0"/>
              <w:rPr>
                <w:sz w:val="1"/>
                <w:szCs w:val="1"/>
                <w:color w:val="auto"/>
              </w:rPr>
            </w:pPr>
          </w:p>
        </w:tc>
      </w:tr>
      <w:tr>
        <w:trPr>
          <w:trHeight w:val="147"/>
        </w:trPr>
        <w:tc>
          <w:tcPr>
            <w:tcW w:w="4620" w:type="dxa"/>
            <w:vAlign w:val="bottom"/>
          </w:tcPr>
          <w:p>
            <w:pPr>
              <w:spacing w:after="0"/>
              <w:rPr>
                <w:sz w:val="12"/>
                <w:szCs w:val="12"/>
                <w:color w:val="auto"/>
              </w:rPr>
            </w:pPr>
          </w:p>
        </w:tc>
        <w:tc>
          <w:tcPr>
            <w:tcW w:w="4200" w:type="dxa"/>
            <w:vAlign w:val="bottom"/>
            <w:gridSpan w:val="2"/>
          </w:tcPr>
          <w:p>
            <w:pPr>
              <w:jc w:val="center"/>
              <w:ind w:left="3131"/>
              <w:spacing w:after="0" w:line="147" w:lineRule="exact"/>
              <w:rPr>
                <w:sz w:val="20"/>
                <w:szCs w:val="20"/>
                <w:color w:val="auto"/>
              </w:rPr>
            </w:pPr>
            <w:r>
              <w:rPr>
                <w:rFonts w:ascii="Times New Roman" w:cs="Times New Roman" w:eastAsia="Times New Roman" w:hAnsi="Times New Roman"/>
                <w:sz w:val="14"/>
                <w:szCs w:val="14"/>
                <w:i w:val="1"/>
                <w:iCs w:val="1"/>
                <w:color w:val="auto"/>
              </w:rPr>
              <w:t>2025</w:t>
            </w:r>
          </w:p>
        </w:tc>
        <w:tc>
          <w:tcPr>
            <w:tcW w:w="160" w:type="dxa"/>
            <w:vAlign w:val="bottom"/>
          </w:tcPr>
          <w:p>
            <w:pPr>
              <w:spacing w:after="0"/>
              <w:rPr>
                <w:sz w:val="12"/>
                <w:szCs w:val="12"/>
                <w:color w:val="auto"/>
              </w:rPr>
            </w:pPr>
          </w:p>
        </w:tc>
        <w:tc>
          <w:tcPr>
            <w:tcW w:w="960" w:type="dxa"/>
            <w:vAlign w:val="bottom"/>
          </w:tcPr>
          <w:p>
            <w:pPr>
              <w:jc w:val="center"/>
              <w:spacing w:after="0" w:line="147" w:lineRule="exact"/>
              <w:rPr>
                <w:sz w:val="20"/>
                <w:szCs w:val="20"/>
                <w:color w:val="auto"/>
              </w:rPr>
            </w:pPr>
            <w:r>
              <w:rPr>
                <w:rFonts w:ascii="Times New Roman" w:cs="Times New Roman" w:eastAsia="Times New Roman" w:hAnsi="Times New Roman"/>
                <w:sz w:val="14"/>
                <w:szCs w:val="14"/>
                <w:b w:val="1"/>
                <w:bCs w:val="1"/>
                <w:color w:val="auto"/>
              </w:rPr>
              <w:t>2026</w:t>
            </w:r>
          </w:p>
        </w:tc>
        <w:tc>
          <w:tcPr>
            <w:tcW w:w="160" w:type="dxa"/>
            <w:vAlign w:val="bottom"/>
          </w:tcPr>
          <w:p>
            <w:pPr>
              <w:spacing w:after="0"/>
              <w:rPr>
                <w:sz w:val="12"/>
                <w:szCs w:val="12"/>
                <w:color w:val="auto"/>
              </w:rPr>
            </w:pPr>
          </w:p>
        </w:tc>
        <w:tc>
          <w:tcPr>
            <w:tcW w:w="860" w:type="dxa"/>
            <w:vAlign w:val="bottom"/>
          </w:tcPr>
          <w:p>
            <w:pPr>
              <w:jc w:val="center"/>
              <w:spacing w:after="0" w:line="147" w:lineRule="exact"/>
              <w:rPr>
                <w:sz w:val="20"/>
                <w:szCs w:val="20"/>
                <w:color w:val="auto"/>
              </w:rPr>
            </w:pPr>
            <w:r>
              <w:rPr>
                <w:rFonts w:ascii="Times New Roman" w:cs="Times New Roman" w:eastAsia="Times New Roman" w:hAnsi="Times New Roman"/>
                <w:sz w:val="14"/>
                <w:szCs w:val="14"/>
                <w:b w:val="1"/>
                <w:bCs w:val="1"/>
                <w:color w:val="auto"/>
                <w:w w:val="99"/>
              </w:rPr>
              <w:t>2026</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9"/>
        </w:trPr>
        <w:tc>
          <w:tcPr>
            <w:tcW w:w="4620" w:type="dxa"/>
            <w:vAlign w:val="bottom"/>
          </w:tcPr>
          <w:p>
            <w:pPr>
              <w:spacing w:after="0"/>
              <w:rPr>
                <w:sz w:val="16"/>
                <w:szCs w:val="16"/>
                <w:color w:val="auto"/>
              </w:rPr>
            </w:pPr>
          </w:p>
        </w:tc>
        <w:tc>
          <w:tcPr>
            <w:tcW w:w="3240" w:type="dxa"/>
            <w:vAlign w:val="bottom"/>
          </w:tcPr>
          <w:p>
            <w:pPr>
              <w:spacing w:after="0"/>
              <w:rPr>
                <w:sz w:val="16"/>
                <w:szCs w:val="16"/>
                <w:color w:val="auto"/>
              </w:rPr>
            </w:pPr>
          </w:p>
        </w:tc>
        <w:tc>
          <w:tcPr>
            <w:tcW w:w="1120" w:type="dxa"/>
            <w:vAlign w:val="bottom"/>
            <w:gridSpan w:val="2"/>
          </w:tcPr>
          <w:p>
            <w:pPr>
              <w:jc w:val="center"/>
              <w:ind w:right="180"/>
              <w:spacing w:after="0"/>
              <w:rPr>
                <w:sz w:val="20"/>
                <w:szCs w:val="20"/>
                <w:color w:val="auto"/>
              </w:rPr>
            </w:pPr>
            <w:r>
              <w:rPr>
                <w:rFonts w:ascii="Times New Roman" w:cs="Times New Roman" w:eastAsia="Times New Roman" w:hAnsi="Times New Roman"/>
                <w:sz w:val="14"/>
                <w:szCs w:val="14"/>
                <w:i w:val="1"/>
                <w:iCs w:val="1"/>
                <w:color w:val="auto"/>
              </w:rPr>
              <w:t>RMB</w:t>
            </w:r>
          </w:p>
        </w:tc>
        <w:tc>
          <w:tcPr>
            <w:tcW w:w="1120" w:type="dxa"/>
            <w:vAlign w:val="bottom"/>
            <w:gridSpan w:val="2"/>
          </w:tcPr>
          <w:p>
            <w:pPr>
              <w:jc w:val="center"/>
              <w:ind w:right="160"/>
              <w:spacing w:after="0"/>
              <w:rPr>
                <w:sz w:val="20"/>
                <w:szCs w:val="20"/>
                <w:color w:val="auto"/>
              </w:rPr>
            </w:pPr>
            <w:r>
              <w:rPr>
                <w:rFonts w:ascii="Times New Roman" w:cs="Times New Roman" w:eastAsia="Times New Roman" w:hAnsi="Times New Roman"/>
                <w:sz w:val="14"/>
                <w:szCs w:val="14"/>
                <w:b w:val="1"/>
                <w:bCs w:val="1"/>
                <w:i w:val="1"/>
                <w:iCs w:val="1"/>
                <w:color w:val="auto"/>
              </w:rPr>
              <w:t>RMB</w:t>
            </w:r>
          </w:p>
        </w:tc>
        <w:tc>
          <w:tcPr>
            <w:tcW w:w="920" w:type="dxa"/>
            <w:vAlign w:val="bottom"/>
            <w:gridSpan w:val="2"/>
          </w:tcPr>
          <w:p>
            <w:pPr>
              <w:jc w:val="center"/>
              <w:ind w:right="60"/>
              <w:spacing w:after="0"/>
              <w:rPr>
                <w:sz w:val="20"/>
                <w:szCs w:val="20"/>
                <w:color w:val="auto"/>
              </w:rPr>
            </w:pPr>
            <w:r>
              <w:rPr>
                <w:rFonts w:ascii="Times New Roman" w:cs="Times New Roman" w:eastAsia="Times New Roman" w:hAnsi="Times New Roman"/>
                <w:sz w:val="14"/>
                <w:szCs w:val="14"/>
                <w:b w:val="1"/>
                <w:bCs w:val="1"/>
                <w:i w:val="1"/>
                <w:iCs w:val="1"/>
                <w:color w:val="auto"/>
              </w:rPr>
              <w:t>US$</w:t>
            </w:r>
          </w:p>
        </w:tc>
        <w:tc>
          <w:tcPr>
            <w:tcW w:w="0" w:type="dxa"/>
            <w:vAlign w:val="bottom"/>
          </w:tcPr>
          <w:p>
            <w:pPr>
              <w:spacing w:after="0"/>
              <w:rPr>
                <w:sz w:val="1"/>
                <w:szCs w:val="1"/>
                <w:color w:val="auto"/>
              </w:rPr>
            </w:pPr>
          </w:p>
        </w:tc>
      </w:tr>
      <w:tr>
        <w:trPr>
          <w:trHeight w:val="216"/>
        </w:trPr>
        <w:tc>
          <w:tcPr>
            <w:tcW w:w="4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324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Current assets</w:t>
            </w:r>
          </w:p>
        </w:tc>
        <w:tc>
          <w:tcPr>
            <w:tcW w:w="32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and cash equivalents</w:t>
            </w:r>
          </w:p>
        </w:tc>
        <w:tc>
          <w:tcPr>
            <w:tcW w:w="436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17,329,612</w:t>
            </w:r>
          </w:p>
        </w:tc>
        <w:tc>
          <w:tcPr>
            <w:tcW w:w="11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14,460,430</w:t>
            </w:r>
          </w:p>
        </w:tc>
        <w:tc>
          <w:tcPr>
            <w:tcW w:w="9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2,096,322</w:t>
            </w:r>
          </w:p>
        </w:tc>
        <w:tc>
          <w:tcPr>
            <w:tcW w:w="0" w:type="dxa"/>
            <w:vAlign w:val="bottom"/>
          </w:tcPr>
          <w:p>
            <w:pPr>
              <w:spacing w:after="0"/>
              <w:rPr>
                <w:sz w:val="1"/>
                <w:szCs w:val="1"/>
                <w:color w:val="auto"/>
              </w:rPr>
            </w:pPr>
          </w:p>
        </w:tc>
      </w:tr>
      <w:tr>
        <w:trPr>
          <w:trHeight w:val="216"/>
        </w:trPr>
        <w:tc>
          <w:tcPr>
            <w:tcW w:w="4620" w:type="dxa"/>
            <w:vAlign w:val="bottom"/>
          </w:tcPr>
          <w:p>
            <w:pPr>
              <w:spacing w:after="0"/>
              <w:rPr>
                <w:sz w:val="20"/>
                <w:szCs w:val="20"/>
                <w:color w:val="auto"/>
              </w:rPr>
            </w:pPr>
            <w:r>
              <w:rPr>
                <w:rFonts w:ascii="Times New Roman" w:cs="Times New Roman" w:eastAsia="Times New Roman" w:hAnsi="Times New Roman"/>
                <w:sz w:val="18"/>
                <w:szCs w:val="18"/>
                <w:color w:val="auto"/>
              </w:rPr>
              <w:t>Restricted cash</w:t>
            </w:r>
          </w:p>
        </w:tc>
        <w:tc>
          <w:tcPr>
            <w:tcW w:w="436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6,071,491</w:t>
            </w:r>
          </w:p>
        </w:tc>
        <w:tc>
          <w:tcPr>
            <w:tcW w:w="11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5,436,604</w:t>
            </w:r>
          </w:p>
        </w:tc>
        <w:tc>
          <w:tcPr>
            <w:tcW w:w="9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788,142</w:t>
            </w:r>
          </w:p>
        </w:tc>
        <w:tc>
          <w:tcPr>
            <w:tcW w:w="0" w:type="dxa"/>
            <w:vAlign w:val="bottom"/>
          </w:tcPr>
          <w:p>
            <w:pPr>
              <w:spacing w:after="0"/>
              <w:rPr>
                <w:sz w:val="1"/>
                <w:szCs w:val="1"/>
                <w:color w:val="auto"/>
              </w:rPr>
            </w:pPr>
          </w:p>
        </w:tc>
      </w:tr>
      <w:tr>
        <w:trPr>
          <w:trHeight w:val="216"/>
        </w:trPr>
        <w:tc>
          <w:tcPr>
            <w:tcW w:w="4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Short-term deposits</w:t>
            </w:r>
          </w:p>
        </w:tc>
        <w:tc>
          <w:tcPr>
            <w:tcW w:w="436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11,388,834</w:t>
            </w:r>
          </w:p>
        </w:tc>
        <w:tc>
          <w:tcPr>
            <w:tcW w:w="11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9,568,321</w:t>
            </w:r>
          </w:p>
        </w:tc>
        <w:tc>
          <w:tcPr>
            <w:tcW w:w="9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1,387,115</w:t>
            </w:r>
          </w:p>
        </w:tc>
        <w:tc>
          <w:tcPr>
            <w:tcW w:w="0" w:type="dxa"/>
            <w:vAlign w:val="bottom"/>
          </w:tcPr>
          <w:p>
            <w:pPr>
              <w:spacing w:after="0"/>
              <w:rPr>
                <w:sz w:val="1"/>
                <w:szCs w:val="1"/>
                <w:color w:val="auto"/>
              </w:rPr>
            </w:pPr>
          </w:p>
        </w:tc>
      </w:tr>
      <w:tr>
        <w:trPr>
          <w:trHeight w:val="216"/>
        </w:trPr>
        <w:tc>
          <w:tcPr>
            <w:tcW w:w="4620" w:type="dxa"/>
            <w:vAlign w:val="bottom"/>
          </w:tcPr>
          <w:p>
            <w:pPr>
              <w:spacing w:after="0"/>
              <w:rPr>
                <w:sz w:val="20"/>
                <w:szCs w:val="20"/>
                <w:color w:val="auto"/>
              </w:rPr>
            </w:pPr>
            <w:r>
              <w:rPr>
                <w:rFonts w:ascii="Times New Roman" w:cs="Times New Roman" w:eastAsia="Times New Roman" w:hAnsi="Times New Roman"/>
                <w:sz w:val="18"/>
                <w:szCs w:val="18"/>
                <w:color w:val="auto"/>
              </w:rPr>
              <w:t>Restricted short-term deposits</w:t>
            </w:r>
          </w:p>
        </w:tc>
        <w:tc>
          <w:tcPr>
            <w:tcW w:w="436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296,277</w:t>
            </w:r>
          </w:p>
        </w:tc>
        <w:tc>
          <w:tcPr>
            <w:tcW w:w="11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1,223,833</w:t>
            </w:r>
          </w:p>
        </w:tc>
        <w:tc>
          <w:tcPr>
            <w:tcW w:w="9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177,419</w:t>
            </w:r>
          </w:p>
        </w:tc>
        <w:tc>
          <w:tcPr>
            <w:tcW w:w="0" w:type="dxa"/>
            <w:vAlign w:val="bottom"/>
          </w:tcPr>
          <w:p>
            <w:pPr>
              <w:spacing w:after="0"/>
              <w:rPr>
                <w:sz w:val="1"/>
                <w:szCs w:val="1"/>
                <w:color w:val="auto"/>
              </w:rPr>
            </w:pPr>
          </w:p>
        </w:tc>
      </w:tr>
      <w:tr>
        <w:trPr>
          <w:trHeight w:val="216"/>
        </w:trPr>
        <w:tc>
          <w:tcPr>
            <w:tcW w:w="4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Short-term investments</w:t>
            </w:r>
          </w:p>
        </w:tc>
        <w:tc>
          <w:tcPr>
            <w:tcW w:w="436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3,217,293</w:t>
            </w:r>
          </w:p>
        </w:tc>
        <w:tc>
          <w:tcPr>
            <w:tcW w:w="11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3,112,654</w:t>
            </w:r>
          </w:p>
        </w:tc>
        <w:tc>
          <w:tcPr>
            <w:tcW w:w="9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451,240</w:t>
            </w:r>
          </w:p>
        </w:tc>
        <w:tc>
          <w:tcPr>
            <w:tcW w:w="0" w:type="dxa"/>
            <w:vAlign w:val="bottom"/>
          </w:tcPr>
          <w:p>
            <w:pPr>
              <w:spacing w:after="0"/>
              <w:rPr>
                <w:sz w:val="1"/>
                <w:szCs w:val="1"/>
                <w:color w:val="auto"/>
              </w:rPr>
            </w:pPr>
          </w:p>
        </w:tc>
      </w:tr>
      <w:tr>
        <w:trPr>
          <w:trHeight w:val="216"/>
        </w:trPr>
        <w:tc>
          <w:tcPr>
            <w:tcW w:w="4620" w:type="dxa"/>
            <w:vAlign w:val="bottom"/>
          </w:tcPr>
          <w:p>
            <w:pPr>
              <w:spacing w:after="0"/>
              <w:rPr>
                <w:sz w:val="20"/>
                <w:szCs w:val="20"/>
                <w:color w:val="auto"/>
              </w:rPr>
            </w:pPr>
            <w:r>
              <w:rPr>
                <w:rFonts w:ascii="Times New Roman" w:cs="Times New Roman" w:eastAsia="Times New Roman" w:hAnsi="Times New Roman"/>
                <w:sz w:val="18"/>
                <w:szCs w:val="18"/>
                <w:color w:val="auto"/>
              </w:rPr>
              <w:t>Long-term deposits, current portion</w:t>
            </w:r>
          </w:p>
        </w:tc>
        <w:tc>
          <w:tcPr>
            <w:tcW w:w="436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3,020,317</w:t>
            </w:r>
          </w:p>
        </w:tc>
        <w:tc>
          <w:tcPr>
            <w:tcW w:w="11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3,453,198</w:t>
            </w:r>
          </w:p>
        </w:tc>
        <w:tc>
          <w:tcPr>
            <w:tcW w:w="9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500,609</w:t>
            </w:r>
          </w:p>
        </w:tc>
        <w:tc>
          <w:tcPr>
            <w:tcW w:w="0" w:type="dxa"/>
            <w:vAlign w:val="bottom"/>
          </w:tcPr>
          <w:p>
            <w:pPr>
              <w:spacing w:after="0"/>
              <w:rPr>
                <w:sz w:val="1"/>
                <w:szCs w:val="1"/>
                <w:color w:val="auto"/>
              </w:rPr>
            </w:pPr>
          </w:p>
        </w:tc>
      </w:tr>
      <w:tr>
        <w:trPr>
          <w:trHeight w:val="216"/>
        </w:trPr>
        <w:tc>
          <w:tcPr>
            <w:tcW w:w="4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Restricted long-term deposits, current portion</w:t>
            </w:r>
          </w:p>
        </w:tc>
        <w:tc>
          <w:tcPr>
            <w:tcW w:w="436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600,472</w:t>
            </w:r>
          </w:p>
        </w:tc>
        <w:tc>
          <w:tcPr>
            <w:tcW w:w="1120" w:type="dxa"/>
            <w:vAlign w:val="bottom"/>
            <w:gridSpan w:val="2"/>
            <w:shd w:val="clear" w:color="auto" w:fill="CCEEFF"/>
          </w:tcPr>
          <w:p>
            <w:pPr>
              <w:ind w:left="680"/>
              <w:spacing w:after="0"/>
              <w:rPr>
                <w:sz w:val="20"/>
                <w:szCs w:val="20"/>
                <w:color w:val="auto"/>
              </w:rPr>
            </w:pPr>
            <w:r>
              <w:rPr>
                <w:rFonts w:ascii="Times New Roman" w:cs="Times New Roman" w:eastAsia="Times New Roman" w:hAnsi="Times New Roman"/>
                <w:sz w:val="18"/>
                <w:szCs w:val="18"/>
                <w:b w:val="1"/>
                <w:bCs w:val="1"/>
                <w:color w:val="auto"/>
              </w:rPr>
              <w:t>— </w:t>
            </w:r>
          </w:p>
        </w:tc>
        <w:tc>
          <w:tcPr>
            <w:tcW w:w="920" w:type="dxa"/>
            <w:vAlign w:val="bottom"/>
            <w:gridSpan w:val="2"/>
            <w:shd w:val="clear" w:color="auto" w:fill="CCEEFF"/>
          </w:tcPr>
          <w:p>
            <w:pPr>
              <w:ind w:left="580"/>
              <w:spacing w:after="0"/>
              <w:rPr>
                <w:sz w:val="20"/>
                <w:szCs w:val="20"/>
                <w:color w:val="auto"/>
              </w:rPr>
            </w:pPr>
            <w:r>
              <w:rPr>
                <w:rFonts w:ascii="Times New Roman" w:cs="Times New Roman" w:eastAsia="Times New Roman" w:hAnsi="Times New Roman"/>
                <w:sz w:val="18"/>
                <w:szCs w:val="18"/>
                <w:b w:val="1"/>
                <w:bCs w:val="1"/>
                <w:color w:val="auto"/>
              </w:rPr>
              <w:t>— </w:t>
            </w:r>
          </w:p>
        </w:tc>
        <w:tc>
          <w:tcPr>
            <w:tcW w:w="0" w:type="dxa"/>
            <w:vAlign w:val="bottom"/>
          </w:tcPr>
          <w:p>
            <w:pPr>
              <w:spacing w:after="0"/>
              <w:rPr>
                <w:sz w:val="1"/>
                <w:szCs w:val="1"/>
                <w:color w:val="auto"/>
              </w:rPr>
            </w:pPr>
          </w:p>
        </w:tc>
      </w:tr>
      <w:tr>
        <w:trPr>
          <w:trHeight w:val="216"/>
        </w:trPr>
        <w:tc>
          <w:tcPr>
            <w:tcW w:w="4620" w:type="dxa"/>
            <w:vAlign w:val="bottom"/>
          </w:tcPr>
          <w:p>
            <w:pPr>
              <w:spacing w:after="0"/>
              <w:rPr>
                <w:sz w:val="20"/>
                <w:szCs w:val="20"/>
                <w:color w:val="auto"/>
              </w:rPr>
            </w:pPr>
            <w:r>
              <w:rPr>
                <w:rFonts w:ascii="Times New Roman" w:cs="Times New Roman" w:eastAsia="Times New Roman" w:hAnsi="Times New Roman"/>
                <w:sz w:val="18"/>
                <w:szCs w:val="18"/>
                <w:color w:val="auto"/>
              </w:rPr>
              <w:t>Derivative assets</w:t>
            </w:r>
          </w:p>
        </w:tc>
        <w:tc>
          <w:tcPr>
            <w:tcW w:w="3240" w:type="dxa"/>
            <w:vAlign w:val="bottom"/>
          </w:tcPr>
          <w:p>
            <w:pPr>
              <w:spacing w:after="0"/>
              <w:rPr>
                <w:sz w:val="18"/>
                <w:szCs w:val="18"/>
                <w:color w:val="auto"/>
              </w:rPr>
            </w:pPr>
          </w:p>
        </w:tc>
        <w:tc>
          <w:tcPr>
            <w:tcW w:w="1120" w:type="dxa"/>
            <w:vAlign w:val="bottom"/>
            <w:gridSpan w:val="2"/>
          </w:tcPr>
          <w:p>
            <w:pPr>
              <w:ind w:left="680"/>
              <w:spacing w:after="0"/>
              <w:rPr>
                <w:sz w:val="20"/>
                <w:szCs w:val="20"/>
                <w:color w:val="auto"/>
              </w:rPr>
            </w:pPr>
            <w:r>
              <w:rPr>
                <w:rFonts w:ascii="Times New Roman" w:cs="Times New Roman" w:eastAsia="Times New Roman" w:hAnsi="Times New Roman"/>
                <w:sz w:val="18"/>
                <w:szCs w:val="18"/>
                <w:color w:val="auto"/>
              </w:rPr>
              <w:t>— </w:t>
            </w:r>
          </w:p>
        </w:tc>
        <w:tc>
          <w:tcPr>
            <w:tcW w:w="11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2,203</w:t>
            </w:r>
          </w:p>
        </w:tc>
        <w:tc>
          <w:tcPr>
            <w:tcW w:w="9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319</w:t>
            </w:r>
          </w:p>
        </w:tc>
        <w:tc>
          <w:tcPr>
            <w:tcW w:w="0" w:type="dxa"/>
            <w:vAlign w:val="bottom"/>
          </w:tcPr>
          <w:p>
            <w:pPr>
              <w:spacing w:after="0"/>
              <w:rPr>
                <w:sz w:val="1"/>
                <w:szCs w:val="1"/>
                <w:color w:val="auto"/>
              </w:rPr>
            </w:pPr>
          </w:p>
        </w:tc>
      </w:tr>
      <w:tr>
        <w:trPr>
          <w:trHeight w:val="216"/>
        </w:trPr>
        <w:tc>
          <w:tcPr>
            <w:tcW w:w="4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Accounts and notes receivable, net</w:t>
            </w:r>
          </w:p>
        </w:tc>
        <w:tc>
          <w:tcPr>
            <w:tcW w:w="436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1,996,917</w:t>
            </w:r>
          </w:p>
        </w:tc>
        <w:tc>
          <w:tcPr>
            <w:tcW w:w="11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1,078,429</w:t>
            </w:r>
          </w:p>
        </w:tc>
        <w:tc>
          <w:tcPr>
            <w:tcW w:w="9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156,339</w:t>
            </w:r>
          </w:p>
        </w:tc>
        <w:tc>
          <w:tcPr>
            <w:tcW w:w="0" w:type="dxa"/>
            <w:vAlign w:val="bottom"/>
          </w:tcPr>
          <w:p>
            <w:pPr>
              <w:spacing w:after="0"/>
              <w:rPr>
                <w:sz w:val="1"/>
                <w:szCs w:val="1"/>
                <w:color w:val="auto"/>
              </w:rPr>
            </w:pPr>
          </w:p>
        </w:tc>
      </w:tr>
      <w:tr>
        <w:trPr>
          <w:trHeight w:val="216"/>
        </w:trPr>
        <w:tc>
          <w:tcPr>
            <w:tcW w:w="4620" w:type="dxa"/>
            <w:vAlign w:val="bottom"/>
          </w:tcPr>
          <w:p>
            <w:pPr>
              <w:spacing w:after="0"/>
              <w:rPr>
                <w:sz w:val="20"/>
                <w:szCs w:val="20"/>
                <w:color w:val="auto"/>
              </w:rPr>
            </w:pPr>
            <w:r>
              <w:rPr>
                <w:rFonts w:ascii="Times New Roman" w:cs="Times New Roman" w:eastAsia="Times New Roman" w:hAnsi="Times New Roman"/>
                <w:sz w:val="18"/>
                <w:szCs w:val="18"/>
                <w:color w:val="auto"/>
              </w:rPr>
              <w:t>Installment payment receivables, net, current portion</w:t>
            </w:r>
          </w:p>
        </w:tc>
        <w:tc>
          <w:tcPr>
            <w:tcW w:w="436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3,553,054</w:t>
            </w:r>
          </w:p>
        </w:tc>
        <w:tc>
          <w:tcPr>
            <w:tcW w:w="11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3,213,713</w:t>
            </w:r>
          </w:p>
        </w:tc>
        <w:tc>
          <w:tcPr>
            <w:tcW w:w="9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465,891</w:t>
            </w:r>
          </w:p>
        </w:tc>
        <w:tc>
          <w:tcPr>
            <w:tcW w:w="0" w:type="dxa"/>
            <w:vAlign w:val="bottom"/>
          </w:tcPr>
          <w:p>
            <w:pPr>
              <w:spacing w:after="0"/>
              <w:rPr>
                <w:sz w:val="1"/>
                <w:szCs w:val="1"/>
                <w:color w:val="auto"/>
              </w:rPr>
            </w:pPr>
          </w:p>
        </w:tc>
      </w:tr>
      <w:tr>
        <w:trPr>
          <w:trHeight w:val="216"/>
        </w:trPr>
        <w:tc>
          <w:tcPr>
            <w:tcW w:w="4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Inventory</w:t>
            </w:r>
          </w:p>
        </w:tc>
        <w:tc>
          <w:tcPr>
            <w:tcW w:w="436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10,380,668</w:t>
            </w:r>
          </w:p>
        </w:tc>
        <w:tc>
          <w:tcPr>
            <w:tcW w:w="11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13,291,855</w:t>
            </w:r>
          </w:p>
        </w:tc>
        <w:tc>
          <w:tcPr>
            <w:tcW w:w="9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1,926,914</w:t>
            </w:r>
          </w:p>
        </w:tc>
        <w:tc>
          <w:tcPr>
            <w:tcW w:w="0" w:type="dxa"/>
            <w:vAlign w:val="bottom"/>
          </w:tcPr>
          <w:p>
            <w:pPr>
              <w:spacing w:after="0"/>
              <w:rPr>
                <w:sz w:val="1"/>
                <w:szCs w:val="1"/>
                <w:color w:val="auto"/>
              </w:rPr>
            </w:pPr>
          </w:p>
        </w:tc>
      </w:tr>
      <w:tr>
        <w:trPr>
          <w:trHeight w:val="216"/>
        </w:trPr>
        <w:tc>
          <w:tcPr>
            <w:tcW w:w="4620" w:type="dxa"/>
            <w:vAlign w:val="bottom"/>
          </w:tcPr>
          <w:p>
            <w:pPr>
              <w:spacing w:after="0"/>
              <w:rPr>
                <w:sz w:val="20"/>
                <w:szCs w:val="20"/>
                <w:color w:val="auto"/>
              </w:rPr>
            </w:pPr>
            <w:r>
              <w:rPr>
                <w:rFonts w:ascii="Times New Roman" w:cs="Times New Roman" w:eastAsia="Times New Roman" w:hAnsi="Times New Roman"/>
                <w:sz w:val="18"/>
                <w:szCs w:val="18"/>
                <w:color w:val="auto"/>
              </w:rPr>
              <w:t>Amounts due from related parties</w:t>
            </w:r>
          </w:p>
        </w:tc>
        <w:tc>
          <w:tcPr>
            <w:tcW w:w="436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102,219</w:t>
            </w:r>
          </w:p>
        </w:tc>
        <w:tc>
          <w:tcPr>
            <w:tcW w:w="11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119,406</w:t>
            </w:r>
          </w:p>
        </w:tc>
        <w:tc>
          <w:tcPr>
            <w:tcW w:w="9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17,310</w:t>
            </w:r>
          </w:p>
        </w:tc>
        <w:tc>
          <w:tcPr>
            <w:tcW w:w="0" w:type="dxa"/>
            <w:vAlign w:val="bottom"/>
          </w:tcPr>
          <w:p>
            <w:pPr>
              <w:spacing w:after="0"/>
              <w:rPr>
                <w:sz w:val="1"/>
                <w:szCs w:val="1"/>
                <w:color w:val="auto"/>
              </w:rPr>
            </w:pPr>
          </w:p>
        </w:tc>
      </w:tr>
      <w:tr>
        <w:trPr>
          <w:trHeight w:val="216"/>
        </w:trPr>
        <w:tc>
          <w:tcPr>
            <w:tcW w:w="4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Prepayments and other current assets, net</w:t>
            </w:r>
          </w:p>
        </w:tc>
        <w:tc>
          <w:tcPr>
            <w:tcW w:w="436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5,296,673</w:t>
            </w:r>
          </w:p>
        </w:tc>
        <w:tc>
          <w:tcPr>
            <w:tcW w:w="11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5,707,084</w:t>
            </w:r>
          </w:p>
        </w:tc>
        <w:tc>
          <w:tcPr>
            <w:tcW w:w="9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827,353</w:t>
            </w:r>
          </w:p>
        </w:tc>
        <w:tc>
          <w:tcPr>
            <w:tcW w:w="0" w:type="dxa"/>
            <w:vAlign w:val="bottom"/>
          </w:tcPr>
          <w:p>
            <w:pPr>
              <w:spacing w:after="0"/>
              <w:rPr>
                <w:sz w:val="1"/>
                <w:szCs w:val="1"/>
                <w:color w:val="auto"/>
              </w:rPr>
            </w:pPr>
          </w:p>
        </w:tc>
      </w:tr>
      <w:tr>
        <w:trPr>
          <w:trHeight w:val="230"/>
        </w:trPr>
        <w:tc>
          <w:tcPr>
            <w:tcW w:w="46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 current assets</w:t>
            </w:r>
          </w:p>
        </w:tc>
        <w:tc>
          <w:tcPr>
            <w:tcW w:w="3240" w:type="dxa"/>
            <w:vAlign w:val="bottom"/>
          </w:tcPr>
          <w:p>
            <w:pPr>
              <w:spacing w:after="0"/>
              <w:rPr>
                <w:sz w:val="20"/>
                <w:szCs w:val="20"/>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63,253,827</w:t>
            </w:r>
          </w:p>
        </w:tc>
        <w:tc>
          <w:tcPr>
            <w:tcW w:w="160" w:type="dxa"/>
            <w:vAlign w:val="bottom"/>
          </w:tcPr>
          <w:p>
            <w:pPr>
              <w:spacing w:after="0"/>
              <w:rPr>
                <w:sz w:val="20"/>
                <w:szCs w:val="20"/>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60,667,730</w:t>
            </w:r>
          </w:p>
        </w:tc>
        <w:tc>
          <w:tcPr>
            <w:tcW w:w="160" w:type="dxa"/>
            <w:vAlign w:val="bottom"/>
          </w:tcPr>
          <w:p>
            <w:pPr>
              <w:spacing w:after="0"/>
              <w:rPr>
                <w:sz w:val="20"/>
                <w:szCs w:val="20"/>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8,794,973</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4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Non-current assets</w:t>
            </w:r>
          </w:p>
        </w:tc>
        <w:tc>
          <w:tcPr>
            <w:tcW w:w="324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20" w:type="dxa"/>
            <w:vAlign w:val="bottom"/>
          </w:tcPr>
          <w:p>
            <w:pPr>
              <w:spacing w:after="0"/>
              <w:rPr>
                <w:sz w:val="20"/>
                <w:szCs w:val="20"/>
                <w:color w:val="auto"/>
              </w:rPr>
            </w:pPr>
            <w:r>
              <w:rPr>
                <w:rFonts w:ascii="Times New Roman" w:cs="Times New Roman" w:eastAsia="Times New Roman" w:hAnsi="Times New Roman"/>
                <w:sz w:val="18"/>
                <w:szCs w:val="18"/>
                <w:color w:val="auto"/>
              </w:rPr>
              <w:t>Long-term deposits</w:t>
            </w:r>
          </w:p>
        </w:tc>
        <w:tc>
          <w:tcPr>
            <w:tcW w:w="436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4,263,542</w:t>
            </w:r>
          </w:p>
        </w:tc>
        <w:tc>
          <w:tcPr>
            <w:tcW w:w="11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3,354,922</w:t>
            </w:r>
          </w:p>
        </w:tc>
        <w:tc>
          <w:tcPr>
            <w:tcW w:w="9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486,362</w:t>
            </w:r>
          </w:p>
        </w:tc>
        <w:tc>
          <w:tcPr>
            <w:tcW w:w="0" w:type="dxa"/>
            <w:vAlign w:val="bottom"/>
          </w:tcPr>
          <w:p>
            <w:pPr>
              <w:spacing w:after="0"/>
              <w:rPr>
                <w:sz w:val="1"/>
                <w:szCs w:val="1"/>
                <w:color w:val="auto"/>
              </w:rPr>
            </w:pPr>
          </w:p>
        </w:tc>
      </w:tr>
      <w:tr>
        <w:trPr>
          <w:trHeight w:val="216"/>
        </w:trPr>
        <w:tc>
          <w:tcPr>
            <w:tcW w:w="4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Restricted long-term deposits</w:t>
            </w:r>
          </w:p>
        </w:tc>
        <w:tc>
          <w:tcPr>
            <w:tcW w:w="436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1,468,708</w:t>
            </w:r>
          </w:p>
        </w:tc>
        <w:tc>
          <w:tcPr>
            <w:tcW w:w="11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1,476,815</w:t>
            </w:r>
          </w:p>
        </w:tc>
        <w:tc>
          <w:tcPr>
            <w:tcW w:w="9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214,093</w:t>
            </w:r>
          </w:p>
        </w:tc>
        <w:tc>
          <w:tcPr>
            <w:tcW w:w="0" w:type="dxa"/>
            <w:vAlign w:val="bottom"/>
          </w:tcPr>
          <w:p>
            <w:pPr>
              <w:spacing w:after="0"/>
              <w:rPr>
                <w:sz w:val="1"/>
                <w:szCs w:val="1"/>
                <w:color w:val="auto"/>
              </w:rPr>
            </w:pPr>
          </w:p>
        </w:tc>
      </w:tr>
      <w:tr>
        <w:trPr>
          <w:trHeight w:val="216"/>
        </w:trPr>
        <w:tc>
          <w:tcPr>
            <w:tcW w:w="4620" w:type="dxa"/>
            <w:vAlign w:val="bottom"/>
          </w:tcPr>
          <w:p>
            <w:pPr>
              <w:spacing w:after="0"/>
              <w:rPr>
                <w:sz w:val="20"/>
                <w:szCs w:val="20"/>
                <w:color w:val="auto"/>
              </w:rPr>
            </w:pPr>
            <w:r>
              <w:rPr>
                <w:rFonts w:ascii="Times New Roman" w:cs="Times New Roman" w:eastAsia="Times New Roman" w:hAnsi="Times New Roman"/>
                <w:sz w:val="18"/>
                <w:szCs w:val="18"/>
                <w:color w:val="auto"/>
              </w:rPr>
              <w:t>Property, plant and equipment, net</w:t>
            </w:r>
          </w:p>
        </w:tc>
        <w:tc>
          <w:tcPr>
            <w:tcW w:w="436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13,527,237</w:t>
            </w:r>
          </w:p>
        </w:tc>
        <w:tc>
          <w:tcPr>
            <w:tcW w:w="11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17,421,250</w:t>
            </w:r>
          </w:p>
        </w:tc>
        <w:tc>
          <w:tcPr>
            <w:tcW w:w="9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2,525,551</w:t>
            </w:r>
          </w:p>
        </w:tc>
        <w:tc>
          <w:tcPr>
            <w:tcW w:w="0" w:type="dxa"/>
            <w:vAlign w:val="bottom"/>
          </w:tcPr>
          <w:p>
            <w:pPr>
              <w:spacing w:after="0"/>
              <w:rPr>
                <w:sz w:val="1"/>
                <w:szCs w:val="1"/>
                <w:color w:val="auto"/>
              </w:rPr>
            </w:pPr>
          </w:p>
        </w:tc>
      </w:tr>
      <w:tr>
        <w:trPr>
          <w:trHeight w:val="216"/>
        </w:trPr>
        <w:tc>
          <w:tcPr>
            <w:tcW w:w="4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Right-of-use assets, net</w:t>
            </w:r>
          </w:p>
        </w:tc>
        <w:tc>
          <w:tcPr>
            <w:tcW w:w="436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3,730,921</w:t>
            </w:r>
          </w:p>
        </w:tc>
        <w:tc>
          <w:tcPr>
            <w:tcW w:w="11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1,187,653</w:t>
            </w:r>
          </w:p>
        </w:tc>
        <w:tc>
          <w:tcPr>
            <w:tcW w:w="9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172,174</w:t>
            </w:r>
          </w:p>
        </w:tc>
        <w:tc>
          <w:tcPr>
            <w:tcW w:w="0" w:type="dxa"/>
            <w:vAlign w:val="bottom"/>
          </w:tcPr>
          <w:p>
            <w:pPr>
              <w:spacing w:after="0"/>
              <w:rPr>
                <w:sz w:val="1"/>
                <w:szCs w:val="1"/>
                <w:color w:val="auto"/>
              </w:rPr>
            </w:pPr>
          </w:p>
        </w:tc>
      </w:tr>
      <w:tr>
        <w:trPr>
          <w:trHeight w:val="216"/>
        </w:trPr>
        <w:tc>
          <w:tcPr>
            <w:tcW w:w="4620" w:type="dxa"/>
            <w:vAlign w:val="bottom"/>
          </w:tcPr>
          <w:p>
            <w:pPr>
              <w:spacing w:after="0"/>
              <w:rPr>
                <w:sz w:val="20"/>
                <w:szCs w:val="20"/>
                <w:color w:val="auto"/>
              </w:rPr>
            </w:pPr>
            <w:r>
              <w:rPr>
                <w:rFonts w:ascii="Times New Roman" w:cs="Times New Roman" w:eastAsia="Times New Roman" w:hAnsi="Times New Roman"/>
                <w:sz w:val="18"/>
                <w:szCs w:val="18"/>
                <w:color w:val="auto"/>
              </w:rPr>
              <w:t>Intangible assets, net</w:t>
            </w:r>
          </w:p>
        </w:tc>
        <w:tc>
          <w:tcPr>
            <w:tcW w:w="436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4,253,168</w:t>
            </w:r>
          </w:p>
        </w:tc>
        <w:tc>
          <w:tcPr>
            <w:tcW w:w="11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4,120,041</w:t>
            </w:r>
          </w:p>
        </w:tc>
        <w:tc>
          <w:tcPr>
            <w:tcW w:w="9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597,281</w:t>
            </w:r>
          </w:p>
        </w:tc>
        <w:tc>
          <w:tcPr>
            <w:tcW w:w="0" w:type="dxa"/>
            <w:vAlign w:val="bottom"/>
          </w:tcPr>
          <w:p>
            <w:pPr>
              <w:spacing w:after="0"/>
              <w:rPr>
                <w:sz w:val="1"/>
                <w:szCs w:val="1"/>
                <w:color w:val="auto"/>
              </w:rPr>
            </w:pPr>
          </w:p>
        </w:tc>
      </w:tr>
      <w:tr>
        <w:trPr>
          <w:trHeight w:val="216"/>
        </w:trPr>
        <w:tc>
          <w:tcPr>
            <w:tcW w:w="4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Land use rights, net</w:t>
            </w:r>
          </w:p>
        </w:tc>
        <w:tc>
          <w:tcPr>
            <w:tcW w:w="436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3,216,526</w:t>
            </w:r>
          </w:p>
        </w:tc>
        <w:tc>
          <w:tcPr>
            <w:tcW w:w="11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3,491,040</w:t>
            </w:r>
          </w:p>
        </w:tc>
        <w:tc>
          <w:tcPr>
            <w:tcW w:w="9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506,095</w:t>
            </w:r>
          </w:p>
        </w:tc>
        <w:tc>
          <w:tcPr>
            <w:tcW w:w="0" w:type="dxa"/>
            <w:vAlign w:val="bottom"/>
          </w:tcPr>
          <w:p>
            <w:pPr>
              <w:spacing w:after="0"/>
              <w:rPr>
                <w:sz w:val="1"/>
                <w:szCs w:val="1"/>
                <w:color w:val="auto"/>
              </w:rPr>
            </w:pPr>
          </w:p>
        </w:tc>
      </w:tr>
      <w:tr>
        <w:trPr>
          <w:trHeight w:val="216"/>
        </w:trPr>
        <w:tc>
          <w:tcPr>
            <w:tcW w:w="4620" w:type="dxa"/>
            <w:vAlign w:val="bottom"/>
          </w:tcPr>
          <w:p>
            <w:pPr>
              <w:spacing w:after="0"/>
              <w:rPr>
                <w:sz w:val="20"/>
                <w:szCs w:val="20"/>
                <w:color w:val="auto"/>
              </w:rPr>
            </w:pPr>
            <w:r>
              <w:rPr>
                <w:rFonts w:ascii="Times New Roman" w:cs="Times New Roman" w:eastAsia="Times New Roman" w:hAnsi="Times New Roman"/>
                <w:sz w:val="18"/>
                <w:szCs w:val="18"/>
                <w:color w:val="auto"/>
              </w:rPr>
              <w:t>Installment payment receivables, net</w:t>
            </w:r>
          </w:p>
        </w:tc>
        <w:tc>
          <w:tcPr>
            <w:tcW w:w="436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6,496,020</w:t>
            </w:r>
          </w:p>
        </w:tc>
        <w:tc>
          <w:tcPr>
            <w:tcW w:w="11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5,866,931</w:t>
            </w:r>
          </w:p>
        </w:tc>
        <w:tc>
          <w:tcPr>
            <w:tcW w:w="9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850,526</w:t>
            </w:r>
          </w:p>
        </w:tc>
        <w:tc>
          <w:tcPr>
            <w:tcW w:w="0" w:type="dxa"/>
            <w:vAlign w:val="bottom"/>
          </w:tcPr>
          <w:p>
            <w:pPr>
              <w:spacing w:after="0"/>
              <w:rPr>
                <w:sz w:val="1"/>
                <w:szCs w:val="1"/>
                <w:color w:val="auto"/>
              </w:rPr>
            </w:pPr>
          </w:p>
        </w:tc>
      </w:tr>
      <w:tr>
        <w:trPr>
          <w:trHeight w:val="216"/>
        </w:trPr>
        <w:tc>
          <w:tcPr>
            <w:tcW w:w="4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Long-term investments</w:t>
            </w:r>
          </w:p>
        </w:tc>
        <w:tc>
          <w:tcPr>
            <w:tcW w:w="436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2,523,037</w:t>
            </w:r>
          </w:p>
        </w:tc>
        <w:tc>
          <w:tcPr>
            <w:tcW w:w="11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2,817,726</w:t>
            </w:r>
          </w:p>
        </w:tc>
        <w:tc>
          <w:tcPr>
            <w:tcW w:w="9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408,484</w:t>
            </w:r>
          </w:p>
        </w:tc>
        <w:tc>
          <w:tcPr>
            <w:tcW w:w="0" w:type="dxa"/>
            <w:vAlign w:val="bottom"/>
          </w:tcPr>
          <w:p>
            <w:pPr>
              <w:spacing w:after="0"/>
              <w:rPr>
                <w:sz w:val="1"/>
                <w:szCs w:val="1"/>
                <w:color w:val="auto"/>
              </w:rPr>
            </w:pPr>
          </w:p>
        </w:tc>
      </w:tr>
      <w:tr>
        <w:trPr>
          <w:trHeight w:val="223"/>
        </w:trPr>
        <w:tc>
          <w:tcPr>
            <w:tcW w:w="4620" w:type="dxa"/>
            <w:vAlign w:val="bottom"/>
          </w:tcPr>
          <w:p>
            <w:pPr>
              <w:spacing w:after="0"/>
              <w:rPr>
                <w:sz w:val="20"/>
                <w:szCs w:val="20"/>
                <w:color w:val="auto"/>
              </w:rPr>
            </w:pPr>
            <w:r>
              <w:rPr>
                <w:rFonts w:ascii="Times New Roman" w:cs="Times New Roman" w:eastAsia="Times New Roman" w:hAnsi="Times New Roman"/>
                <w:sz w:val="18"/>
                <w:szCs w:val="18"/>
                <w:color w:val="auto"/>
              </w:rPr>
              <w:t>Other non-current assets</w:t>
            </w:r>
          </w:p>
        </w:tc>
        <w:tc>
          <w:tcPr>
            <w:tcW w:w="3240" w:type="dxa"/>
            <w:vAlign w:val="bottom"/>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429,644</w:t>
            </w:r>
          </w:p>
        </w:tc>
        <w:tc>
          <w:tcPr>
            <w:tcW w:w="160" w:type="dxa"/>
            <w:vAlign w:val="bottom"/>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408,481</w:t>
            </w:r>
          </w:p>
        </w:tc>
        <w:tc>
          <w:tcPr>
            <w:tcW w:w="160" w:type="dxa"/>
            <w:vAlign w:val="bottom"/>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59,217</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4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non-current assets</w:t>
            </w:r>
          </w:p>
        </w:tc>
        <w:tc>
          <w:tcPr>
            <w:tcW w:w="436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39,908,803</w:t>
            </w:r>
          </w:p>
        </w:tc>
        <w:tc>
          <w:tcPr>
            <w:tcW w:w="11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40,144,859</w:t>
            </w:r>
          </w:p>
        </w:tc>
        <w:tc>
          <w:tcPr>
            <w:tcW w:w="9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5,819,783</w:t>
            </w:r>
          </w:p>
        </w:tc>
        <w:tc>
          <w:tcPr>
            <w:tcW w:w="0" w:type="dxa"/>
            <w:vAlign w:val="bottom"/>
          </w:tcPr>
          <w:p>
            <w:pPr>
              <w:spacing w:after="0"/>
              <w:rPr>
                <w:sz w:val="1"/>
                <w:szCs w:val="1"/>
                <w:color w:val="auto"/>
              </w:rPr>
            </w:pPr>
          </w:p>
        </w:tc>
      </w:tr>
      <w:tr>
        <w:trPr>
          <w:trHeight w:val="223"/>
        </w:trPr>
        <w:tc>
          <w:tcPr>
            <w:tcW w:w="46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 assets</w:t>
            </w:r>
          </w:p>
        </w:tc>
        <w:tc>
          <w:tcPr>
            <w:tcW w:w="3240" w:type="dxa"/>
            <w:vAlign w:val="bottom"/>
          </w:tcPr>
          <w:p>
            <w:pPr>
              <w:spacing w:after="0"/>
              <w:rPr>
                <w:sz w:val="19"/>
                <w:szCs w:val="19"/>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103,162,630</w:t>
            </w:r>
          </w:p>
        </w:tc>
        <w:tc>
          <w:tcPr>
            <w:tcW w:w="160" w:type="dxa"/>
            <w:vAlign w:val="bottom"/>
          </w:tcPr>
          <w:p>
            <w:pPr>
              <w:spacing w:after="0"/>
              <w:rPr>
                <w:sz w:val="19"/>
                <w:szCs w:val="19"/>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100,812,589</w:t>
            </w:r>
          </w:p>
        </w:tc>
        <w:tc>
          <w:tcPr>
            <w:tcW w:w="160" w:type="dxa"/>
            <w:vAlign w:val="bottom"/>
          </w:tcPr>
          <w:p>
            <w:pPr>
              <w:spacing w:after="0"/>
              <w:rPr>
                <w:sz w:val="19"/>
                <w:szCs w:val="19"/>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14,614,756</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620" w:type="dxa"/>
            <w:vAlign w:val="bottom"/>
          </w:tcPr>
          <w:p>
            <w:pPr>
              <w:spacing w:after="0" w:line="20" w:lineRule="exact"/>
              <w:rPr>
                <w:sz w:val="1"/>
                <w:szCs w:val="1"/>
                <w:color w:val="auto"/>
              </w:rPr>
            </w:pPr>
          </w:p>
        </w:tc>
        <w:tc>
          <w:tcPr>
            <w:tcW w:w="3240" w:type="dxa"/>
            <w:vAlign w:val="bottom"/>
            <w:vMerge w:val="restart"/>
          </w:tcPr>
          <w:p>
            <w:pPr>
              <w:jc w:val="right"/>
              <w:ind w:right="2231"/>
              <w:spacing w:after="0"/>
              <w:rPr>
                <w:sz w:val="20"/>
                <w:szCs w:val="20"/>
                <w:color w:val="auto"/>
              </w:rPr>
            </w:pPr>
            <w:r>
              <w:rPr>
                <w:rFonts w:ascii="Times New Roman" w:cs="Times New Roman" w:eastAsia="Times New Roman" w:hAnsi="Times New Roman"/>
                <w:sz w:val="18"/>
                <w:szCs w:val="18"/>
                <w:color w:val="auto"/>
              </w:rPr>
              <w:t>9</w:t>
            </w:r>
          </w:p>
        </w:tc>
        <w:tc>
          <w:tcPr>
            <w:tcW w:w="9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4620" w:type="dxa"/>
            <w:vAlign w:val="bottom"/>
          </w:tcPr>
          <w:p>
            <w:pPr>
              <w:spacing w:after="0"/>
              <w:rPr>
                <w:sz w:val="24"/>
                <w:szCs w:val="24"/>
                <w:color w:val="auto"/>
              </w:rPr>
            </w:pPr>
          </w:p>
        </w:tc>
        <w:tc>
          <w:tcPr>
            <w:tcW w:w="3240" w:type="dxa"/>
            <w:vAlign w:val="bottom"/>
            <w:vMerge w:val="continue"/>
          </w:tcPr>
          <w:p>
            <w:pPr>
              <w:spacing w:after="0"/>
              <w:rPr>
                <w:sz w:val="24"/>
                <w:szCs w:val="24"/>
                <w:color w:val="auto"/>
              </w:rPr>
            </w:pPr>
          </w:p>
        </w:tc>
        <w:tc>
          <w:tcPr>
            <w:tcW w:w="9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020"/>
          </w:cols>
          <w:pgMar w:left="440" w:top="738" w:right="439" w:bottom="1440" w:gutter="0" w:footer="0" w:header="0"/>
        </w:sectPr>
      </w:pPr>
    </w:p>
    <w:bookmarkStart w:id="12" w:name="page13"/>
    <w:bookmarkEnd w:id="12"/>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74865" cy="3873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183515</wp:posOffset>
            </wp:positionV>
            <wp:extent cx="1251585" cy="14605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clrChange>
                        <a:clrFrom>
                          <a:srgbClr val="FFFFFF"/>
                        </a:clrFrom>
                        <a:clrTo>
                          <a:srgbClr val="FFFFFF">
                            <a:alpha val="0"/>
                          </a:srgbClr>
                        </a:clrTo>
                      </a:clrChange>
                      <a:extLst>
                        <a:ext uri="{28A0092B-C50C-407E-A947-70E740481C1C}"/>
                      </a:extLst>
                    </a:blip>
                    <a:srcRect/>
                    <a:stretch>
                      <a:fillRect/>
                    </a:stretch>
                  </pic:blipFill>
                  <pic:spPr bwMode="auto">
                    <a:xfrm>
                      <a:off x="0" y="0"/>
                      <a:ext cx="1251585" cy="146050"/>
                    </a:xfrm>
                    <a:prstGeom prst="rect">
                      <a:avLst/>
                    </a:prstGeom>
                    <a:noFill/>
                  </pic:spPr>
                </pic:pic>
              </a:graphicData>
            </a:graphic>
          </wp:anchor>
        </w:drawing>
        <w:t>XPENG INC.</w:t>
      </w:r>
    </w:p>
    <w:p>
      <w:pPr>
        <w:spacing w:after="0" w:line="31" w:lineRule="exact"/>
        <w:rPr>
          <w:sz w:val="20"/>
          <w:szCs w:val="20"/>
          <w:color w:val="auto"/>
        </w:rPr>
      </w:pPr>
    </w:p>
    <w:p>
      <w:pPr>
        <w:ind w:left="2160"/>
        <w:spacing w:after="0"/>
        <w:rPr>
          <w:sz w:val="20"/>
          <w:szCs w:val="20"/>
          <w:color w:val="auto"/>
        </w:rPr>
      </w:pPr>
      <w:r>
        <w:rPr>
          <w:rFonts w:ascii="Times New Roman" w:cs="Times New Roman" w:eastAsia="Times New Roman" w:hAnsi="Times New Roman"/>
          <w:sz w:val="18"/>
          <w:szCs w:val="18"/>
          <w:b w:val="1"/>
          <w:bCs w:val="1"/>
          <w:color w:val="auto"/>
        </w:rPr>
        <w:t>UNAUDITED CONDENSED CONSOLIDATED BALANCE SHEETS (CONTINUED)</w:t>
      </w:r>
    </w:p>
    <w:p>
      <w:pPr>
        <w:spacing w:after="0" w:line="9" w:lineRule="exact"/>
        <w:rPr>
          <w:sz w:val="20"/>
          <w:szCs w:val="20"/>
          <w:color w:val="auto"/>
        </w:rPr>
      </w:pPr>
    </w:p>
    <w:p>
      <w:pPr>
        <w:ind w:left="2160"/>
        <w:spacing w:after="0"/>
        <w:rPr>
          <w:sz w:val="20"/>
          <w:szCs w:val="20"/>
          <w:color w:val="auto"/>
        </w:rPr>
      </w:pPr>
      <w:r>
        <w:rPr>
          <w:rFonts w:ascii="Times New Roman" w:cs="Times New Roman" w:eastAsia="Times New Roman" w:hAnsi="Times New Roman"/>
          <w:sz w:val="18"/>
          <w:szCs w:val="18"/>
          <w:color w:val="auto"/>
        </w:rPr>
        <w:t>(All amounts in thousands, except for ADS/ordinary share and per ADS/ordinary share data)</w:t>
      </w:r>
    </w:p>
    <w:p>
      <w:pPr>
        <w:spacing w:after="0" w:line="21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240" w:type="dxa"/>
            <w:vAlign w:val="bottom"/>
          </w:tcPr>
          <w:p>
            <w:pPr>
              <w:spacing w:after="0"/>
              <w:rPr>
                <w:sz w:val="13"/>
                <w:szCs w:val="13"/>
                <w:color w:val="auto"/>
              </w:rPr>
            </w:pPr>
          </w:p>
        </w:tc>
        <w:tc>
          <w:tcPr>
            <w:tcW w:w="3340" w:type="dxa"/>
            <w:vAlign w:val="bottom"/>
          </w:tcPr>
          <w:p>
            <w:pPr>
              <w:spacing w:after="0"/>
              <w:rPr>
                <w:sz w:val="13"/>
                <w:szCs w:val="13"/>
                <w:color w:val="auto"/>
              </w:rPr>
            </w:pPr>
          </w:p>
        </w:tc>
        <w:tc>
          <w:tcPr>
            <w:tcW w:w="1200" w:type="dxa"/>
            <w:vAlign w:val="bottom"/>
            <w:gridSpan w:val="2"/>
          </w:tcPr>
          <w:p>
            <w:pPr>
              <w:jc w:val="right"/>
              <w:ind w:right="300"/>
              <w:spacing w:after="0"/>
              <w:rPr>
                <w:sz w:val="20"/>
                <w:szCs w:val="20"/>
                <w:color w:val="auto"/>
              </w:rPr>
            </w:pPr>
            <w:r>
              <w:rPr>
                <w:rFonts w:ascii="Times New Roman" w:cs="Times New Roman" w:eastAsia="Times New Roman" w:hAnsi="Times New Roman"/>
                <w:sz w:val="14"/>
                <w:szCs w:val="14"/>
                <w:color w:val="auto"/>
              </w:rPr>
              <w:t>December 31</w:t>
            </w:r>
            <w:r>
              <w:rPr>
                <w:rFonts w:ascii="Times New Roman" w:cs="Times New Roman" w:eastAsia="Times New Roman" w:hAnsi="Times New Roman"/>
                <w:sz w:val="14"/>
                <w:szCs w:val="14"/>
                <w:b w:val="1"/>
                <w:bCs w:val="1"/>
                <w:color w:val="auto"/>
              </w:rPr>
              <w:t>,</w:t>
            </w:r>
          </w:p>
        </w:tc>
        <w:tc>
          <w:tcPr>
            <w:tcW w:w="120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104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0" w:type="dxa"/>
            <w:vAlign w:val="bottom"/>
          </w:tcPr>
          <w:p>
            <w:pPr>
              <w:spacing w:after="0"/>
              <w:rPr>
                <w:sz w:val="1"/>
                <w:szCs w:val="1"/>
                <w:color w:val="auto"/>
              </w:rPr>
            </w:pPr>
          </w:p>
        </w:tc>
      </w:tr>
      <w:tr>
        <w:trPr>
          <w:trHeight w:val="147"/>
        </w:trPr>
        <w:tc>
          <w:tcPr>
            <w:tcW w:w="4240" w:type="dxa"/>
            <w:vAlign w:val="bottom"/>
          </w:tcPr>
          <w:p>
            <w:pPr>
              <w:spacing w:after="0"/>
              <w:rPr>
                <w:sz w:val="12"/>
                <w:szCs w:val="12"/>
                <w:color w:val="auto"/>
              </w:rPr>
            </w:pPr>
          </w:p>
        </w:tc>
        <w:tc>
          <w:tcPr>
            <w:tcW w:w="4320" w:type="dxa"/>
            <w:vAlign w:val="bottom"/>
            <w:gridSpan w:val="2"/>
          </w:tcPr>
          <w:p>
            <w:pPr>
              <w:jc w:val="right"/>
              <w:ind w:right="255"/>
              <w:spacing w:after="0" w:line="147" w:lineRule="exact"/>
              <w:rPr>
                <w:sz w:val="20"/>
                <w:szCs w:val="20"/>
                <w:color w:val="auto"/>
              </w:rPr>
            </w:pPr>
            <w:r>
              <w:rPr>
                <w:rFonts w:ascii="Times New Roman" w:cs="Times New Roman" w:eastAsia="Times New Roman" w:hAnsi="Times New Roman"/>
                <w:sz w:val="14"/>
                <w:szCs w:val="14"/>
                <w:color w:val="auto"/>
              </w:rPr>
              <w:t>2025</w:t>
            </w:r>
          </w:p>
        </w:tc>
        <w:tc>
          <w:tcPr>
            <w:tcW w:w="220" w:type="dxa"/>
            <w:vAlign w:val="bottom"/>
          </w:tcPr>
          <w:p>
            <w:pPr>
              <w:spacing w:after="0"/>
              <w:rPr>
                <w:sz w:val="12"/>
                <w:szCs w:val="12"/>
                <w:color w:val="auto"/>
              </w:rPr>
            </w:pPr>
          </w:p>
        </w:tc>
        <w:tc>
          <w:tcPr>
            <w:tcW w:w="980" w:type="dxa"/>
            <w:vAlign w:val="bottom"/>
          </w:tcPr>
          <w:p>
            <w:pPr>
              <w:jc w:val="center"/>
              <w:spacing w:after="0" w:line="147" w:lineRule="exact"/>
              <w:rPr>
                <w:sz w:val="20"/>
                <w:szCs w:val="20"/>
                <w:color w:val="auto"/>
              </w:rPr>
            </w:pPr>
            <w:r>
              <w:rPr>
                <w:rFonts w:ascii="Times New Roman" w:cs="Times New Roman" w:eastAsia="Times New Roman" w:hAnsi="Times New Roman"/>
                <w:sz w:val="14"/>
                <w:szCs w:val="14"/>
                <w:b w:val="1"/>
                <w:bCs w:val="1"/>
                <w:color w:val="auto"/>
                <w:w w:val="99"/>
              </w:rPr>
              <w:t>2026</w:t>
            </w:r>
          </w:p>
        </w:tc>
        <w:tc>
          <w:tcPr>
            <w:tcW w:w="220" w:type="dxa"/>
            <w:vAlign w:val="bottom"/>
          </w:tcPr>
          <w:p>
            <w:pPr>
              <w:spacing w:after="0"/>
              <w:rPr>
                <w:sz w:val="12"/>
                <w:szCs w:val="12"/>
                <w:color w:val="auto"/>
              </w:rPr>
            </w:pPr>
          </w:p>
        </w:tc>
        <w:tc>
          <w:tcPr>
            <w:tcW w:w="920" w:type="dxa"/>
            <w:vAlign w:val="bottom"/>
          </w:tcPr>
          <w:p>
            <w:pPr>
              <w:jc w:val="center"/>
              <w:spacing w:after="0" w:line="147" w:lineRule="exact"/>
              <w:rPr>
                <w:sz w:val="20"/>
                <w:szCs w:val="20"/>
                <w:color w:val="auto"/>
              </w:rPr>
            </w:pPr>
            <w:r>
              <w:rPr>
                <w:rFonts w:ascii="Times New Roman" w:cs="Times New Roman" w:eastAsia="Times New Roman" w:hAnsi="Times New Roman"/>
                <w:sz w:val="14"/>
                <w:szCs w:val="14"/>
                <w:b w:val="1"/>
                <w:bCs w:val="1"/>
                <w:color w:val="auto"/>
                <w:w w:val="99"/>
              </w:rPr>
              <w:t>2026</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5"/>
        </w:trPr>
        <w:tc>
          <w:tcPr>
            <w:tcW w:w="4240" w:type="dxa"/>
            <w:vAlign w:val="bottom"/>
          </w:tcPr>
          <w:p>
            <w:pPr>
              <w:spacing w:after="0"/>
              <w:rPr>
                <w:sz w:val="15"/>
                <w:szCs w:val="15"/>
                <w:color w:val="auto"/>
              </w:rPr>
            </w:pPr>
          </w:p>
        </w:tc>
        <w:tc>
          <w:tcPr>
            <w:tcW w:w="3340" w:type="dxa"/>
            <w:vAlign w:val="bottom"/>
          </w:tcPr>
          <w:p>
            <w:pPr>
              <w:spacing w:after="0"/>
              <w:rPr>
                <w:sz w:val="15"/>
                <w:szCs w:val="15"/>
                <w:color w:val="auto"/>
              </w:rPr>
            </w:pPr>
          </w:p>
        </w:tc>
        <w:tc>
          <w:tcPr>
            <w:tcW w:w="1200" w:type="dxa"/>
            <w:vAlign w:val="bottom"/>
            <w:gridSpan w:val="2"/>
          </w:tcPr>
          <w:p>
            <w:pPr>
              <w:jc w:val="right"/>
              <w:ind w:right="560"/>
              <w:spacing w:after="0"/>
              <w:rPr>
                <w:sz w:val="20"/>
                <w:szCs w:val="20"/>
                <w:color w:val="auto"/>
              </w:rPr>
            </w:pPr>
            <w:r>
              <w:rPr>
                <w:rFonts w:ascii="Times New Roman" w:cs="Times New Roman" w:eastAsia="Times New Roman" w:hAnsi="Times New Roman"/>
                <w:sz w:val="14"/>
                <w:szCs w:val="14"/>
                <w:i w:val="1"/>
                <w:iCs w:val="1"/>
                <w:color w:val="auto"/>
              </w:rPr>
              <w:t>RMB</w:t>
            </w:r>
          </w:p>
        </w:tc>
        <w:tc>
          <w:tcPr>
            <w:tcW w:w="120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i w:val="1"/>
                <w:iCs w:val="1"/>
                <w:color w:val="auto"/>
              </w:rPr>
              <w:t>RMB</w:t>
            </w:r>
          </w:p>
        </w:tc>
        <w:tc>
          <w:tcPr>
            <w:tcW w:w="104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i w:val="1"/>
                <w:iCs w:val="1"/>
                <w:color w:val="auto"/>
                <w:w w:val="96"/>
              </w:rPr>
              <w:t>US$</w:t>
            </w:r>
          </w:p>
        </w:tc>
        <w:tc>
          <w:tcPr>
            <w:tcW w:w="0" w:type="dxa"/>
            <w:vAlign w:val="bottom"/>
          </w:tcPr>
          <w:p>
            <w:pPr>
              <w:spacing w:after="0"/>
              <w:rPr>
                <w:sz w:val="1"/>
                <w:szCs w:val="1"/>
                <w:color w:val="auto"/>
              </w:rPr>
            </w:pPr>
          </w:p>
        </w:tc>
      </w:tr>
      <w:tr>
        <w:trPr>
          <w:trHeight w:val="216"/>
        </w:trPr>
        <w:tc>
          <w:tcPr>
            <w:tcW w:w="4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LIABILITIES</w:t>
            </w:r>
          </w:p>
        </w:tc>
        <w:tc>
          <w:tcPr>
            <w:tcW w:w="33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Current liabilities</w:t>
            </w:r>
          </w:p>
        </w:tc>
        <w:tc>
          <w:tcPr>
            <w:tcW w:w="33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Short-term borrowings</w:t>
            </w:r>
          </w:p>
        </w:tc>
        <w:tc>
          <w:tcPr>
            <w:tcW w:w="454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4,282,000</w:t>
            </w:r>
          </w:p>
        </w:tc>
        <w:tc>
          <w:tcPr>
            <w:tcW w:w="12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b w:val="1"/>
                <w:bCs w:val="1"/>
                <w:color w:val="auto"/>
              </w:rPr>
              <w:t>6,764,000</w:t>
            </w:r>
          </w:p>
        </w:tc>
        <w:tc>
          <w:tcPr>
            <w:tcW w:w="10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980,574</w:t>
            </w:r>
          </w:p>
        </w:tc>
        <w:tc>
          <w:tcPr>
            <w:tcW w:w="0" w:type="dxa"/>
            <w:vAlign w:val="bottom"/>
          </w:tcPr>
          <w:p>
            <w:pPr>
              <w:spacing w:after="0"/>
              <w:rPr>
                <w:sz w:val="1"/>
                <w:szCs w:val="1"/>
                <w:color w:val="auto"/>
              </w:rPr>
            </w:pPr>
          </w:p>
        </w:tc>
      </w:tr>
      <w:tr>
        <w:trPr>
          <w:trHeight w:val="216"/>
        </w:trPr>
        <w:tc>
          <w:tcPr>
            <w:tcW w:w="4240" w:type="dxa"/>
            <w:vAlign w:val="bottom"/>
          </w:tcPr>
          <w:p>
            <w:pPr>
              <w:spacing w:after="0"/>
              <w:rPr>
                <w:sz w:val="20"/>
                <w:szCs w:val="20"/>
                <w:color w:val="auto"/>
              </w:rPr>
            </w:pPr>
            <w:r>
              <w:rPr>
                <w:rFonts w:ascii="Times New Roman" w:cs="Times New Roman" w:eastAsia="Times New Roman" w:hAnsi="Times New Roman"/>
                <w:sz w:val="18"/>
                <w:szCs w:val="18"/>
                <w:color w:val="auto"/>
              </w:rPr>
              <w:t>Accounts payable</w:t>
            </w:r>
          </w:p>
        </w:tc>
        <w:tc>
          <w:tcPr>
            <w:tcW w:w="454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18,001,675</w:t>
            </w:r>
          </w:p>
        </w:tc>
        <w:tc>
          <w:tcPr>
            <w:tcW w:w="12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b w:val="1"/>
                <w:bCs w:val="1"/>
                <w:color w:val="auto"/>
              </w:rPr>
              <w:t>13,077,399</w:t>
            </w:r>
          </w:p>
        </w:tc>
        <w:tc>
          <w:tcPr>
            <w:tcW w:w="10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1,895,825</w:t>
            </w:r>
          </w:p>
        </w:tc>
        <w:tc>
          <w:tcPr>
            <w:tcW w:w="0" w:type="dxa"/>
            <w:vAlign w:val="bottom"/>
          </w:tcPr>
          <w:p>
            <w:pPr>
              <w:spacing w:after="0"/>
              <w:rPr>
                <w:sz w:val="1"/>
                <w:szCs w:val="1"/>
                <w:color w:val="auto"/>
              </w:rPr>
            </w:pPr>
          </w:p>
        </w:tc>
      </w:tr>
      <w:tr>
        <w:trPr>
          <w:trHeight w:val="216"/>
        </w:trPr>
        <w:tc>
          <w:tcPr>
            <w:tcW w:w="4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Notes payable</w:t>
            </w:r>
          </w:p>
        </w:tc>
        <w:tc>
          <w:tcPr>
            <w:tcW w:w="454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19,161,724</w:t>
            </w:r>
          </w:p>
        </w:tc>
        <w:tc>
          <w:tcPr>
            <w:tcW w:w="12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b w:val="1"/>
                <w:bCs w:val="1"/>
                <w:color w:val="auto"/>
              </w:rPr>
              <w:t>17,817,244</w:t>
            </w:r>
          </w:p>
        </w:tc>
        <w:tc>
          <w:tcPr>
            <w:tcW w:w="10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2,582,958</w:t>
            </w:r>
          </w:p>
        </w:tc>
        <w:tc>
          <w:tcPr>
            <w:tcW w:w="0" w:type="dxa"/>
            <w:vAlign w:val="bottom"/>
          </w:tcPr>
          <w:p>
            <w:pPr>
              <w:spacing w:after="0"/>
              <w:rPr>
                <w:sz w:val="1"/>
                <w:szCs w:val="1"/>
                <w:color w:val="auto"/>
              </w:rPr>
            </w:pPr>
          </w:p>
        </w:tc>
      </w:tr>
      <w:tr>
        <w:trPr>
          <w:trHeight w:val="216"/>
        </w:trPr>
        <w:tc>
          <w:tcPr>
            <w:tcW w:w="4240" w:type="dxa"/>
            <w:vAlign w:val="bottom"/>
          </w:tcPr>
          <w:p>
            <w:pPr>
              <w:spacing w:after="0"/>
              <w:rPr>
                <w:sz w:val="20"/>
                <w:szCs w:val="20"/>
                <w:color w:val="auto"/>
              </w:rPr>
            </w:pPr>
            <w:r>
              <w:rPr>
                <w:rFonts w:ascii="Times New Roman" w:cs="Times New Roman" w:eastAsia="Times New Roman" w:hAnsi="Times New Roman"/>
                <w:sz w:val="18"/>
                <w:szCs w:val="18"/>
                <w:color w:val="auto"/>
              </w:rPr>
              <w:t>Amounts due to related parties</w:t>
            </w:r>
          </w:p>
        </w:tc>
        <w:tc>
          <w:tcPr>
            <w:tcW w:w="454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1,064</w:t>
            </w:r>
          </w:p>
        </w:tc>
        <w:tc>
          <w:tcPr>
            <w:tcW w:w="12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b w:val="1"/>
                <w:bCs w:val="1"/>
                <w:color w:val="auto"/>
              </w:rPr>
              <w:t>2,532</w:t>
            </w:r>
          </w:p>
        </w:tc>
        <w:tc>
          <w:tcPr>
            <w:tcW w:w="10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367</w:t>
            </w:r>
          </w:p>
        </w:tc>
        <w:tc>
          <w:tcPr>
            <w:tcW w:w="0" w:type="dxa"/>
            <w:vAlign w:val="bottom"/>
          </w:tcPr>
          <w:p>
            <w:pPr>
              <w:spacing w:after="0"/>
              <w:rPr>
                <w:sz w:val="1"/>
                <w:szCs w:val="1"/>
                <w:color w:val="auto"/>
              </w:rPr>
            </w:pPr>
          </w:p>
        </w:tc>
      </w:tr>
      <w:tr>
        <w:trPr>
          <w:trHeight w:val="216"/>
        </w:trPr>
        <w:tc>
          <w:tcPr>
            <w:tcW w:w="4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 taxes payable</w:t>
            </w:r>
          </w:p>
        </w:tc>
        <w:tc>
          <w:tcPr>
            <w:tcW w:w="454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44,682</w:t>
            </w:r>
          </w:p>
        </w:tc>
        <w:tc>
          <w:tcPr>
            <w:tcW w:w="12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b w:val="1"/>
                <w:bCs w:val="1"/>
                <w:color w:val="auto"/>
              </w:rPr>
              <w:t>25,921</w:t>
            </w:r>
          </w:p>
        </w:tc>
        <w:tc>
          <w:tcPr>
            <w:tcW w:w="10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3,758</w:t>
            </w:r>
          </w:p>
        </w:tc>
        <w:tc>
          <w:tcPr>
            <w:tcW w:w="0" w:type="dxa"/>
            <w:vAlign w:val="bottom"/>
          </w:tcPr>
          <w:p>
            <w:pPr>
              <w:spacing w:after="0"/>
              <w:rPr>
                <w:sz w:val="1"/>
                <w:szCs w:val="1"/>
                <w:color w:val="auto"/>
              </w:rPr>
            </w:pPr>
          </w:p>
        </w:tc>
      </w:tr>
      <w:tr>
        <w:trPr>
          <w:trHeight w:val="216"/>
        </w:trPr>
        <w:tc>
          <w:tcPr>
            <w:tcW w:w="4240" w:type="dxa"/>
            <w:vAlign w:val="bottom"/>
          </w:tcPr>
          <w:p>
            <w:pPr>
              <w:spacing w:after="0"/>
              <w:rPr>
                <w:sz w:val="20"/>
                <w:szCs w:val="20"/>
                <w:color w:val="auto"/>
              </w:rPr>
            </w:pPr>
            <w:r>
              <w:rPr>
                <w:rFonts w:ascii="Times New Roman" w:cs="Times New Roman" w:eastAsia="Times New Roman" w:hAnsi="Times New Roman"/>
                <w:sz w:val="18"/>
                <w:szCs w:val="18"/>
                <w:color w:val="auto"/>
              </w:rPr>
              <w:t>Derivative liabilities</w:t>
            </w:r>
          </w:p>
        </w:tc>
        <w:tc>
          <w:tcPr>
            <w:tcW w:w="454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281,009</w:t>
            </w:r>
          </w:p>
        </w:tc>
        <w:tc>
          <w:tcPr>
            <w:tcW w:w="12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b w:val="1"/>
                <w:bCs w:val="1"/>
                <w:color w:val="auto"/>
              </w:rPr>
              <w:t>227,709</w:t>
            </w:r>
          </w:p>
        </w:tc>
        <w:tc>
          <w:tcPr>
            <w:tcW w:w="10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33,011</w:t>
            </w:r>
          </w:p>
        </w:tc>
        <w:tc>
          <w:tcPr>
            <w:tcW w:w="0" w:type="dxa"/>
            <w:vAlign w:val="bottom"/>
          </w:tcPr>
          <w:p>
            <w:pPr>
              <w:spacing w:after="0"/>
              <w:rPr>
                <w:sz w:val="1"/>
                <w:szCs w:val="1"/>
                <w:color w:val="auto"/>
              </w:rPr>
            </w:pPr>
          </w:p>
        </w:tc>
      </w:tr>
      <w:tr>
        <w:trPr>
          <w:trHeight w:val="216"/>
        </w:trPr>
        <w:tc>
          <w:tcPr>
            <w:tcW w:w="4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lease liabilities, current portion</w:t>
            </w:r>
          </w:p>
        </w:tc>
        <w:tc>
          <w:tcPr>
            <w:tcW w:w="454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445,901</w:t>
            </w:r>
          </w:p>
        </w:tc>
        <w:tc>
          <w:tcPr>
            <w:tcW w:w="12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b w:val="1"/>
                <w:bCs w:val="1"/>
                <w:color w:val="auto"/>
              </w:rPr>
              <w:t>327,703</w:t>
            </w:r>
          </w:p>
        </w:tc>
        <w:tc>
          <w:tcPr>
            <w:tcW w:w="10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47,507</w:t>
            </w:r>
          </w:p>
        </w:tc>
        <w:tc>
          <w:tcPr>
            <w:tcW w:w="0" w:type="dxa"/>
            <w:vAlign w:val="bottom"/>
          </w:tcPr>
          <w:p>
            <w:pPr>
              <w:spacing w:after="0"/>
              <w:rPr>
                <w:sz w:val="1"/>
                <w:szCs w:val="1"/>
                <w:color w:val="auto"/>
              </w:rPr>
            </w:pPr>
          </w:p>
        </w:tc>
      </w:tr>
      <w:tr>
        <w:trPr>
          <w:trHeight w:val="216"/>
        </w:trPr>
        <w:tc>
          <w:tcPr>
            <w:tcW w:w="4240" w:type="dxa"/>
            <w:vAlign w:val="bottom"/>
          </w:tcPr>
          <w:p>
            <w:pPr>
              <w:spacing w:after="0"/>
              <w:rPr>
                <w:sz w:val="20"/>
                <w:szCs w:val="20"/>
                <w:color w:val="auto"/>
              </w:rPr>
            </w:pPr>
            <w:r>
              <w:rPr>
                <w:rFonts w:ascii="Times New Roman" w:cs="Times New Roman" w:eastAsia="Times New Roman" w:hAnsi="Times New Roman"/>
                <w:sz w:val="18"/>
                <w:szCs w:val="18"/>
                <w:color w:val="auto"/>
              </w:rPr>
              <w:t>Finance lease liabilities, current portion</w:t>
            </w:r>
          </w:p>
        </w:tc>
        <w:tc>
          <w:tcPr>
            <w:tcW w:w="454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55,581</w:t>
            </w:r>
          </w:p>
        </w:tc>
        <w:tc>
          <w:tcPr>
            <w:tcW w:w="12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b w:val="1"/>
                <w:bCs w:val="1"/>
                <w:color w:val="auto"/>
              </w:rPr>
              <w:t>84,002</w:t>
            </w:r>
          </w:p>
        </w:tc>
        <w:tc>
          <w:tcPr>
            <w:tcW w:w="10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12,178</w:t>
            </w:r>
          </w:p>
        </w:tc>
        <w:tc>
          <w:tcPr>
            <w:tcW w:w="0" w:type="dxa"/>
            <w:vAlign w:val="bottom"/>
          </w:tcPr>
          <w:p>
            <w:pPr>
              <w:spacing w:after="0"/>
              <w:rPr>
                <w:sz w:val="1"/>
                <w:szCs w:val="1"/>
                <w:color w:val="auto"/>
              </w:rPr>
            </w:pPr>
          </w:p>
        </w:tc>
      </w:tr>
      <w:tr>
        <w:trPr>
          <w:trHeight w:val="216"/>
        </w:trPr>
        <w:tc>
          <w:tcPr>
            <w:tcW w:w="4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Deferred revenue, current portion</w:t>
            </w:r>
          </w:p>
        </w:tc>
        <w:tc>
          <w:tcPr>
            <w:tcW w:w="454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1,463,065</w:t>
            </w:r>
          </w:p>
        </w:tc>
        <w:tc>
          <w:tcPr>
            <w:tcW w:w="12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b w:val="1"/>
                <w:bCs w:val="1"/>
                <w:color w:val="auto"/>
              </w:rPr>
              <w:t>1,753,105</w:t>
            </w:r>
          </w:p>
        </w:tc>
        <w:tc>
          <w:tcPr>
            <w:tcW w:w="10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254,147</w:t>
            </w:r>
          </w:p>
        </w:tc>
        <w:tc>
          <w:tcPr>
            <w:tcW w:w="0" w:type="dxa"/>
            <w:vAlign w:val="bottom"/>
          </w:tcPr>
          <w:p>
            <w:pPr>
              <w:spacing w:after="0"/>
              <w:rPr>
                <w:sz w:val="1"/>
                <w:szCs w:val="1"/>
                <w:color w:val="auto"/>
              </w:rPr>
            </w:pPr>
          </w:p>
        </w:tc>
      </w:tr>
      <w:tr>
        <w:trPr>
          <w:trHeight w:val="216"/>
        </w:trPr>
        <w:tc>
          <w:tcPr>
            <w:tcW w:w="4240" w:type="dxa"/>
            <w:vAlign w:val="bottom"/>
          </w:tcPr>
          <w:p>
            <w:pPr>
              <w:spacing w:after="0"/>
              <w:rPr>
                <w:sz w:val="20"/>
                <w:szCs w:val="20"/>
                <w:color w:val="auto"/>
              </w:rPr>
            </w:pPr>
            <w:r>
              <w:rPr>
                <w:rFonts w:ascii="Times New Roman" w:cs="Times New Roman" w:eastAsia="Times New Roman" w:hAnsi="Times New Roman"/>
                <w:sz w:val="18"/>
                <w:szCs w:val="18"/>
                <w:color w:val="auto"/>
              </w:rPr>
              <w:t>Long-term borrowings, current portion</w:t>
            </w:r>
          </w:p>
        </w:tc>
        <w:tc>
          <w:tcPr>
            <w:tcW w:w="454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1,837,950</w:t>
            </w:r>
          </w:p>
        </w:tc>
        <w:tc>
          <w:tcPr>
            <w:tcW w:w="12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b w:val="1"/>
                <w:bCs w:val="1"/>
                <w:color w:val="auto"/>
              </w:rPr>
              <w:t>790,251</w:t>
            </w:r>
          </w:p>
        </w:tc>
        <w:tc>
          <w:tcPr>
            <w:tcW w:w="10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114,562</w:t>
            </w:r>
          </w:p>
        </w:tc>
        <w:tc>
          <w:tcPr>
            <w:tcW w:w="0" w:type="dxa"/>
            <w:vAlign w:val="bottom"/>
          </w:tcPr>
          <w:p>
            <w:pPr>
              <w:spacing w:after="0"/>
              <w:rPr>
                <w:sz w:val="1"/>
                <w:szCs w:val="1"/>
                <w:color w:val="auto"/>
              </w:rPr>
            </w:pPr>
          </w:p>
        </w:tc>
      </w:tr>
      <w:tr>
        <w:trPr>
          <w:trHeight w:val="216"/>
        </w:trPr>
        <w:tc>
          <w:tcPr>
            <w:tcW w:w="4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Accruals and other liabilities</w:t>
            </w:r>
          </w:p>
        </w:tc>
        <w:tc>
          <w:tcPr>
            <w:tcW w:w="454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12,538,698</w:t>
            </w:r>
          </w:p>
        </w:tc>
        <w:tc>
          <w:tcPr>
            <w:tcW w:w="12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b w:val="1"/>
                <w:bCs w:val="1"/>
                <w:color w:val="auto"/>
              </w:rPr>
              <w:t>12,463,653</w:t>
            </w:r>
          </w:p>
        </w:tc>
        <w:tc>
          <w:tcPr>
            <w:tcW w:w="10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1,806,850</w:t>
            </w:r>
          </w:p>
        </w:tc>
        <w:tc>
          <w:tcPr>
            <w:tcW w:w="0" w:type="dxa"/>
            <w:vAlign w:val="bottom"/>
          </w:tcPr>
          <w:p>
            <w:pPr>
              <w:spacing w:after="0"/>
              <w:rPr>
                <w:sz w:val="1"/>
                <w:szCs w:val="1"/>
                <w:color w:val="auto"/>
              </w:rPr>
            </w:pPr>
          </w:p>
        </w:tc>
      </w:tr>
      <w:tr>
        <w:trPr>
          <w:trHeight w:val="230"/>
        </w:trPr>
        <w:tc>
          <w:tcPr>
            <w:tcW w:w="42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 current liabilities</w:t>
            </w:r>
          </w:p>
        </w:tc>
        <w:tc>
          <w:tcPr>
            <w:tcW w:w="3340" w:type="dxa"/>
            <w:vAlign w:val="bottom"/>
          </w:tcPr>
          <w:p>
            <w:pPr>
              <w:spacing w:after="0"/>
              <w:rPr>
                <w:sz w:val="20"/>
                <w:szCs w:val="20"/>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58,113,349</w:t>
            </w:r>
          </w:p>
        </w:tc>
        <w:tc>
          <w:tcPr>
            <w:tcW w:w="220" w:type="dxa"/>
            <w:vAlign w:val="bottom"/>
          </w:tcPr>
          <w:p>
            <w:pPr>
              <w:spacing w:after="0"/>
              <w:rPr>
                <w:sz w:val="20"/>
                <w:szCs w:val="20"/>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53,333,519</w:t>
            </w:r>
          </w:p>
        </w:tc>
        <w:tc>
          <w:tcPr>
            <w:tcW w:w="220" w:type="dxa"/>
            <w:vAlign w:val="bottom"/>
          </w:tcPr>
          <w:p>
            <w:pPr>
              <w:spacing w:after="0"/>
              <w:rPr>
                <w:sz w:val="20"/>
                <w:szCs w:val="20"/>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7,731,737</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4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Non-current liabilities</w:t>
            </w:r>
          </w:p>
        </w:tc>
        <w:tc>
          <w:tcPr>
            <w:tcW w:w="33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40" w:type="dxa"/>
            <w:vAlign w:val="bottom"/>
          </w:tcPr>
          <w:p>
            <w:pPr>
              <w:spacing w:after="0"/>
              <w:rPr>
                <w:sz w:val="20"/>
                <w:szCs w:val="20"/>
                <w:color w:val="auto"/>
              </w:rPr>
            </w:pPr>
            <w:r>
              <w:rPr>
                <w:rFonts w:ascii="Times New Roman" w:cs="Times New Roman" w:eastAsia="Times New Roman" w:hAnsi="Times New Roman"/>
                <w:sz w:val="18"/>
                <w:szCs w:val="18"/>
                <w:color w:val="auto"/>
              </w:rPr>
              <w:t>Long-term borrowings</w:t>
            </w:r>
          </w:p>
        </w:tc>
        <w:tc>
          <w:tcPr>
            <w:tcW w:w="454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6,588,865</w:t>
            </w:r>
          </w:p>
        </w:tc>
        <w:tc>
          <w:tcPr>
            <w:tcW w:w="12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b w:val="1"/>
                <w:bCs w:val="1"/>
                <w:color w:val="auto"/>
              </w:rPr>
              <w:t>9,004,823</w:t>
            </w:r>
          </w:p>
        </w:tc>
        <w:tc>
          <w:tcPr>
            <w:tcW w:w="10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1,305,425</w:t>
            </w:r>
          </w:p>
        </w:tc>
        <w:tc>
          <w:tcPr>
            <w:tcW w:w="0" w:type="dxa"/>
            <w:vAlign w:val="bottom"/>
          </w:tcPr>
          <w:p>
            <w:pPr>
              <w:spacing w:after="0"/>
              <w:rPr>
                <w:sz w:val="1"/>
                <w:szCs w:val="1"/>
                <w:color w:val="auto"/>
              </w:rPr>
            </w:pPr>
          </w:p>
        </w:tc>
      </w:tr>
      <w:tr>
        <w:trPr>
          <w:trHeight w:val="216"/>
        </w:trPr>
        <w:tc>
          <w:tcPr>
            <w:tcW w:w="4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lease liabilities</w:t>
            </w:r>
          </w:p>
        </w:tc>
        <w:tc>
          <w:tcPr>
            <w:tcW w:w="454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4,246,599</w:t>
            </w:r>
          </w:p>
        </w:tc>
        <w:tc>
          <w:tcPr>
            <w:tcW w:w="12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b w:val="1"/>
                <w:bCs w:val="1"/>
                <w:color w:val="auto"/>
              </w:rPr>
              <w:t>2,066,919</w:t>
            </w:r>
          </w:p>
        </w:tc>
        <w:tc>
          <w:tcPr>
            <w:tcW w:w="10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299,640</w:t>
            </w:r>
          </w:p>
        </w:tc>
        <w:tc>
          <w:tcPr>
            <w:tcW w:w="0" w:type="dxa"/>
            <w:vAlign w:val="bottom"/>
          </w:tcPr>
          <w:p>
            <w:pPr>
              <w:spacing w:after="0"/>
              <w:rPr>
                <w:sz w:val="1"/>
                <w:szCs w:val="1"/>
                <w:color w:val="auto"/>
              </w:rPr>
            </w:pPr>
          </w:p>
        </w:tc>
      </w:tr>
      <w:tr>
        <w:trPr>
          <w:trHeight w:val="216"/>
        </w:trPr>
        <w:tc>
          <w:tcPr>
            <w:tcW w:w="4240" w:type="dxa"/>
            <w:vAlign w:val="bottom"/>
          </w:tcPr>
          <w:p>
            <w:pPr>
              <w:spacing w:after="0"/>
              <w:rPr>
                <w:sz w:val="20"/>
                <w:szCs w:val="20"/>
                <w:color w:val="auto"/>
              </w:rPr>
            </w:pPr>
            <w:r>
              <w:rPr>
                <w:rFonts w:ascii="Times New Roman" w:cs="Times New Roman" w:eastAsia="Times New Roman" w:hAnsi="Times New Roman"/>
                <w:sz w:val="18"/>
                <w:szCs w:val="18"/>
                <w:color w:val="auto"/>
              </w:rPr>
              <w:t>Finance lease liabilities</w:t>
            </w:r>
          </w:p>
        </w:tc>
        <w:tc>
          <w:tcPr>
            <w:tcW w:w="454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740,576</w:t>
            </w:r>
          </w:p>
        </w:tc>
        <w:tc>
          <w:tcPr>
            <w:tcW w:w="12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b w:val="1"/>
                <w:bCs w:val="1"/>
                <w:color w:val="auto"/>
              </w:rPr>
              <w:t>4,644,769</w:t>
            </w:r>
          </w:p>
        </w:tc>
        <w:tc>
          <w:tcPr>
            <w:tcW w:w="10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673,350</w:t>
            </w:r>
          </w:p>
        </w:tc>
        <w:tc>
          <w:tcPr>
            <w:tcW w:w="0" w:type="dxa"/>
            <w:vAlign w:val="bottom"/>
          </w:tcPr>
          <w:p>
            <w:pPr>
              <w:spacing w:after="0"/>
              <w:rPr>
                <w:sz w:val="1"/>
                <w:szCs w:val="1"/>
                <w:color w:val="auto"/>
              </w:rPr>
            </w:pPr>
          </w:p>
        </w:tc>
      </w:tr>
      <w:tr>
        <w:trPr>
          <w:trHeight w:val="216"/>
        </w:trPr>
        <w:tc>
          <w:tcPr>
            <w:tcW w:w="4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Deferred revenue</w:t>
            </w:r>
          </w:p>
        </w:tc>
        <w:tc>
          <w:tcPr>
            <w:tcW w:w="454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1,206,014</w:t>
            </w:r>
          </w:p>
        </w:tc>
        <w:tc>
          <w:tcPr>
            <w:tcW w:w="12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b w:val="1"/>
                <w:bCs w:val="1"/>
                <w:color w:val="auto"/>
              </w:rPr>
              <w:t>1,275,748</w:t>
            </w:r>
          </w:p>
        </w:tc>
        <w:tc>
          <w:tcPr>
            <w:tcW w:w="10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184,945</w:t>
            </w:r>
          </w:p>
        </w:tc>
        <w:tc>
          <w:tcPr>
            <w:tcW w:w="0" w:type="dxa"/>
            <w:vAlign w:val="bottom"/>
          </w:tcPr>
          <w:p>
            <w:pPr>
              <w:spacing w:after="0"/>
              <w:rPr>
                <w:sz w:val="1"/>
                <w:szCs w:val="1"/>
                <w:color w:val="auto"/>
              </w:rPr>
            </w:pPr>
          </w:p>
        </w:tc>
      </w:tr>
      <w:tr>
        <w:trPr>
          <w:trHeight w:val="216"/>
        </w:trPr>
        <w:tc>
          <w:tcPr>
            <w:tcW w:w="4240" w:type="dxa"/>
            <w:vAlign w:val="bottom"/>
          </w:tcPr>
          <w:p>
            <w:pPr>
              <w:spacing w:after="0"/>
              <w:rPr>
                <w:sz w:val="20"/>
                <w:szCs w:val="20"/>
                <w:color w:val="auto"/>
              </w:rPr>
            </w:pPr>
            <w:r>
              <w:rPr>
                <w:rFonts w:ascii="Times New Roman" w:cs="Times New Roman" w:eastAsia="Times New Roman" w:hAnsi="Times New Roman"/>
                <w:sz w:val="18"/>
                <w:szCs w:val="18"/>
                <w:color w:val="auto"/>
              </w:rPr>
              <w:t>Deferred tax liabilities</w:t>
            </w:r>
          </w:p>
        </w:tc>
        <w:tc>
          <w:tcPr>
            <w:tcW w:w="454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330,353</w:t>
            </w:r>
          </w:p>
        </w:tc>
        <w:tc>
          <w:tcPr>
            <w:tcW w:w="12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b w:val="1"/>
                <w:bCs w:val="1"/>
                <w:color w:val="auto"/>
              </w:rPr>
              <w:t>330,353</w:t>
            </w:r>
          </w:p>
        </w:tc>
        <w:tc>
          <w:tcPr>
            <w:tcW w:w="10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47,891</w:t>
            </w:r>
          </w:p>
        </w:tc>
        <w:tc>
          <w:tcPr>
            <w:tcW w:w="0" w:type="dxa"/>
            <w:vAlign w:val="bottom"/>
          </w:tcPr>
          <w:p>
            <w:pPr>
              <w:spacing w:after="0"/>
              <w:rPr>
                <w:sz w:val="1"/>
                <w:szCs w:val="1"/>
                <w:color w:val="auto"/>
              </w:rPr>
            </w:pPr>
          </w:p>
        </w:tc>
      </w:tr>
      <w:tr>
        <w:trPr>
          <w:trHeight w:val="216"/>
        </w:trPr>
        <w:tc>
          <w:tcPr>
            <w:tcW w:w="4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non-current liabilities</w:t>
            </w:r>
          </w:p>
        </w:tc>
        <w:tc>
          <w:tcPr>
            <w:tcW w:w="454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1,568,284</w:t>
            </w:r>
          </w:p>
        </w:tc>
        <w:tc>
          <w:tcPr>
            <w:tcW w:w="12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b w:val="1"/>
                <w:bCs w:val="1"/>
                <w:color w:val="auto"/>
              </w:rPr>
              <w:t>1,696,838</w:t>
            </w:r>
          </w:p>
        </w:tc>
        <w:tc>
          <w:tcPr>
            <w:tcW w:w="10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245,990</w:t>
            </w:r>
          </w:p>
        </w:tc>
        <w:tc>
          <w:tcPr>
            <w:tcW w:w="0" w:type="dxa"/>
            <w:vAlign w:val="bottom"/>
          </w:tcPr>
          <w:p>
            <w:pPr>
              <w:spacing w:after="0"/>
              <w:rPr>
                <w:sz w:val="1"/>
                <w:szCs w:val="1"/>
                <w:color w:val="auto"/>
              </w:rPr>
            </w:pPr>
          </w:p>
        </w:tc>
      </w:tr>
      <w:tr>
        <w:trPr>
          <w:trHeight w:val="230"/>
        </w:trPr>
        <w:tc>
          <w:tcPr>
            <w:tcW w:w="42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 non-current liabilities</w:t>
            </w:r>
          </w:p>
        </w:tc>
        <w:tc>
          <w:tcPr>
            <w:tcW w:w="3340" w:type="dxa"/>
            <w:vAlign w:val="bottom"/>
          </w:tcPr>
          <w:p>
            <w:pPr>
              <w:spacing w:after="0"/>
              <w:rPr>
                <w:sz w:val="20"/>
                <w:szCs w:val="20"/>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14,680,691</w:t>
            </w:r>
          </w:p>
        </w:tc>
        <w:tc>
          <w:tcPr>
            <w:tcW w:w="220" w:type="dxa"/>
            <w:vAlign w:val="bottom"/>
          </w:tcPr>
          <w:p>
            <w:pPr>
              <w:spacing w:after="0"/>
              <w:rPr>
                <w:sz w:val="20"/>
                <w:szCs w:val="20"/>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19,019,450</w:t>
            </w:r>
          </w:p>
        </w:tc>
        <w:tc>
          <w:tcPr>
            <w:tcW w:w="220" w:type="dxa"/>
            <w:vAlign w:val="bottom"/>
          </w:tcPr>
          <w:p>
            <w:pPr>
              <w:spacing w:after="0"/>
              <w:rPr>
                <w:sz w:val="20"/>
                <w:szCs w:val="20"/>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2,757,241</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4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liabilities</w:t>
            </w:r>
          </w:p>
        </w:tc>
        <w:tc>
          <w:tcPr>
            <w:tcW w:w="454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72,794,040</w:t>
            </w:r>
          </w:p>
        </w:tc>
        <w:tc>
          <w:tcPr>
            <w:tcW w:w="12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b w:val="1"/>
                <w:bCs w:val="1"/>
                <w:color w:val="auto"/>
              </w:rPr>
              <w:t>72,352,969</w:t>
            </w:r>
          </w:p>
        </w:tc>
        <w:tc>
          <w:tcPr>
            <w:tcW w:w="10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10,488,978</w:t>
            </w:r>
          </w:p>
        </w:tc>
        <w:tc>
          <w:tcPr>
            <w:tcW w:w="0" w:type="dxa"/>
            <w:vAlign w:val="bottom"/>
          </w:tcPr>
          <w:p>
            <w:pPr>
              <w:spacing w:after="0"/>
              <w:rPr>
                <w:sz w:val="1"/>
                <w:szCs w:val="1"/>
                <w:color w:val="auto"/>
              </w:rPr>
            </w:pPr>
          </w:p>
        </w:tc>
      </w:tr>
      <w:tr>
        <w:trPr>
          <w:trHeight w:val="20"/>
        </w:trPr>
        <w:tc>
          <w:tcPr>
            <w:tcW w:w="424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SHAREHOLDERS’ EQUITY</w:t>
            </w:r>
          </w:p>
        </w:tc>
        <w:tc>
          <w:tcPr>
            <w:tcW w:w="3340" w:type="dxa"/>
            <w:vAlign w:val="bottom"/>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240" w:type="dxa"/>
            <w:vAlign w:val="bottom"/>
            <w:vMerge w:val="continue"/>
          </w:tcPr>
          <w:p>
            <w:pPr>
              <w:spacing w:after="0"/>
              <w:rPr>
                <w:sz w:val="18"/>
                <w:szCs w:val="18"/>
                <w:color w:val="auto"/>
              </w:rPr>
            </w:pPr>
          </w:p>
        </w:tc>
        <w:tc>
          <w:tcPr>
            <w:tcW w:w="33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Class A Ordinary shares</w:t>
            </w:r>
          </w:p>
        </w:tc>
        <w:tc>
          <w:tcPr>
            <w:tcW w:w="454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105</w:t>
            </w:r>
          </w:p>
        </w:tc>
        <w:tc>
          <w:tcPr>
            <w:tcW w:w="12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b w:val="1"/>
                <w:bCs w:val="1"/>
                <w:color w:val="auto"/>
              </w:rPr>
              <w:t>105</w:t>
            </w:r>
          </w:p>
        </w:tc>
        <w:tc>
          <w:tcPr>
            <w:tcW w:w="10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15</w:t>
            </w:r>
          </w:p>
        </w:tc>
        <w:tc>
          <w:tcPr>
            <w:tcW w:w="0" w:type="dxa"/>
            <w:vAlign w:val="bottom"/>
          </w:tcPr>
          <w:p>
            <w:pPr>
              <w:spacing w:after="0"/>
              <w:rPr>
                <w:sz w:val="1"/>
                <w:szCs w:val="1"/>
                <w:color w:val="auto"/>
              </w:rPr>
            </w:pPr>
          </w:p>
        </w:tc>
      </w:tr>
      <w:tr>
        <w:trPr>
          <w:trHeight w:val="216"/>
        </w:trPr>
        <w:tc>
          <w:tcPr>
            <w:tcW w:w="4240" w:type="dxa"/>
            <w:vAlign w:val="bottom"/>
          </w:tcPr>
          <w:p>
            <w:pPr>
              <w:spacing w:after="0"/>
              <w:rPr>
                <w:sz w:val="20"/>
                <w:szCs w:val="20"/>
                <w:color w:val="auto"/>
              </w:rPr>
            </w:pPr>
            <w:r>
              <w:rPr>
                <w:rFonts w:ascii="Times New Roman" w:cs="Times New Roman" w:eastAsia="Times New Roman" w:hAnsi="Times New Roman"/>
                <w:sz w:val="18"/>
                <w:szCs w:val="18"/>
                <w:color w:val="auto"/>
              </w:rPr>
              <w:t>Class B Ordinary shares</w:t>
            </w:r>
          </w:p>
        </w:tc>
        <w:tc>
          <w:tcPr>
            <w:tcW w:w="454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21</w:t>
            </w:r>
          </w:p>
        </w:tc>
        <w:tc>
          <w:tcPr>
            <w:tcW w:w="12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b w:val="1"/>
                <w:bCs w:val="1"/>
                <w:color w:val="auto"/>
              </w:rPr>
              <w:t>21</w:t>
            </w:r>
          </w:p>
        </w:tc>
        <w:tc>
          <w:tcPr>
            <w:tcW w:w="10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3</w:t>
            </w:r>
          </w:p>
        </w:tc>
        <w:tc>
          <w:tcPr>
            <w:tcW w:w="0" w:type="dxa"/>
            <w:vAlign w:val="bottom"/>
          </w:tcPr>
          <w:p>
            <w:pPr>
              <w:spacing w:after="0"/>
              <w:rPr>
                <w:sz w:val="1"/>
                <w:szCs w:val="1"/>
                <w:color w:val="auto"/>
              </w:rPr>
            </w:pPr>
          </w:p>
        </w:tc>
      </w:tr>
      <w:tr>
        <w:trPr>
          <w:trHeight w:val="216"/>
        </w:trPr>
        <w:tc>
          <w:tcPr>
            <w:tcW w:w="4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Additional paid-in capital</w:t>
            </w:r>
          </w:p>
        </w:tc>
        <w:tc>
          <w:tcPr>
            <w:tcW w:w="454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71,236,011</w:t>
            </w:r>
          </w:p>
        </w:tc>
        <w:tc>
          <w:tcPr>
            <w:tcW w:w="12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b w:val="1"/>
                <w:bCs w:val="1"/>
                <w:color w:val="auto"/>
              </w:rPr>
              <w:t>71,385,560</w:t>
            </w:r>
          </w:p>
        </w:tc>
        <w:tc>
          <w:tcPr>
            <w:tcW w:w="10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10,348,733</w:t>
            </w:r>
          </w:p>
        </w:tc>
        <w:tc>
          <w:tcPr>
            <w:tcW w:w="0" w:type="dxa"/>
            <w:vAlign w:val="bottom"/>
          </w:tcPr>
          <w:p>
            <w:pPr>
              <w:spacing w:after="0"/>
              <w:rPr>
                <w:sz w:val="1"/>
                <w:szCs w:val="1"/>
                <w:color w:val="auto"/>
              </w:rPr>
            </w:pPr>
          </w:p>
        </w:tc>
      </w:tr>
      <w:tr>
        <w:trPr>
          <w:trHeight w:val="216"/>
        </w:trPr>
        <w:tc>
          <w:tcPr>
            <w:tcW w:w="4240" w:type="dxa"/>
            <w:vAlign w:val="bottom"/>
          </w:tcPr>
          <w:p>
            <w:pPr>
              <w:spacing w:after="0"/>
              <w:rPr>
                <w:sz w:val="20"/>
                <w:szCs w:val="20"/>
                <w:color w:val="auto"/>
              </w:rPr>
            </w:pPr>
            <w:r>
              <w:rPr>
                <w:rFonts w:ascii="Times New Roman" w:cs="Times New Roman" w:eastAsia="Times New Roman" w:hAnsi="Times New Roman"/>
                <w:sz w:val="18"/>
                <w:szCs w:val="18"/>
                <w:color w:val="auto"/>
              </w:rPr>
              <w:t>Statutory and other reserves</w:t>
            </w:r>
          </w:p>
        </w:tc>
        <w:tc>
          <w:tcPr>
            <w:tcW w:w="454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137,720</w:t>
            </w:r>
          </w:p>
        </w:tc>
        <w:tc>
          <w:tcPr>
            <w:tcW w:w="12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b w:val="1"/>
                <w:bCs w:val="1"/>
                <w:color w:val="auto"/>
              </w:rPr>
              <w:t>151,302</w:t>
            </w:r>
          </w:p>
        </w:tc>
        <w:tc>
          <w:tcPr>
            <w:tcW w:w="10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21,934</w:t>
            </w:r>
          </w:p>
        </w:tc>
        <w:tc>
          <w:tcPr>
            <w:tcW w:w="0" w:type="dxa"/>
            <w:vAlign w:val="bottom"/>
          </w:tcPr>
          <w:p>
            <w:pPr>
              <w:spacing w:after="0"/>
              <w:rPr>
                <w:sz w:val="1"/>
                <w:szCs w:val="1"/>
                <w:color w:val="auto"/>
              </w:rPr>
            </w:pPr>
          </w:p>
        </w:tc>
      </w:tr>
      <w:tr>
        <w:trPr>
          <w:trHeight w:val="216"/>
        </w:trPr>
        <w:tc>
          <w:tcPr>
            <w:tcW w:w="4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Accumulated deficit</w:t>
            </w:r>
          </w:p>
        </w:tc>
        <w:tc>
          <w:tcPr>
            <w:tcW w:w="454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(42,767,710)</w:t>
            </w:r>
          </w:p>
        </w:tc>
        <w:tc>
          <w:tcPr>
            <w:tcW w:w="12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(44,565,392)</w:t>
            </w:r>
          </w:p>
        </w:tc>
        <w:tc>
          <w:tcPr>
            <w:tcW w:w="10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(6,460,625)</w:t>
            </w:r>
          </w:p>
        </w:tc>
        <w:tc>
          <w:tcPr>
            <w:tcW w:w="0" w:type="dxa"/>
            <w:vAlign w:val="bottom"/>
          </w:tcPr>
          <w:p>
            <w:pPr>
              <w:spacing w:after="0"/>
              <w:rPr>
                <w:sz w:val="1"/>
                <w:szCs w:val="1"/>
                <w:color w:val="auto"/>
              </w:rPr>
            </w:pPr>
          </w:p>
        </w:tc>
      </w:tr>
      <w:tr>
        <w:trPr>
          <w:trHeight w:val="216"/>
        </w:trPr>
        <w:tc>
          <w:tcPr>
            <w:tcW w:w="4240" w:type="dxa"/>
            <w:vAlign w:val="bottom"/>
          </w:tcPr>
          <w:p>
            <w:pPr>
              <w:spacing w:after="0"/>
              <w:rPr>
                <w:sz w:val="20"/>
                <w:szCs w:val="20"/>
                <w:color w:val="auto"/>
              </w:rPr>
            </w:pPr>
            <w:r>
              <w:rPr>
                <w:rFonts w:ascii="Times New Roman" w:cs="Times New Roman" w:eastAsia="Times New Roman" w:hAnsi="Times New Roman"/>
                <w:sz w:val="18"/>
                <w:szCs w:val="18"/>
                <w:color w:val="auto"/>
              </w:rPr>
              <w:t>Accumulated other comprehensive income</w:t>
            </w:r>
          </w:p>
        </w:tc>
        <w:tc>
          <w:tcPr>
            <w:tcW w:w="334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1,762,443</w:t>
            </w:r>
          </w:p>
        </w:tc>
        <w:tc>
          <w:tcPr>
            <w:tcW w:w="12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b w:val="1"/>
                <w:bCs w:val="1"/>
                <w:color w:val="auto"/>
              </w:rPr>
              <w:t>1,488,024</w:t>
            </w:r>
          </w:p>
        </w:tc>
        <w:tc>
          <w:tcPr>
            <w:tcW w:w="10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215,718</w:t>
            </w:r>
          </w:p>
        </w:tc>
        <w:tc>
          <w:tcPr>
            <w:tcW w:w="0" w:type="dxa"/>
            <w:vAlign w:val="bottom"/>
          </w:tcPr>
          <w:p>
            <w:pPr>
              <w:spacing w:after="0"/>
              <w:rPr>
                <w:sz w:val="1"/>
                <w:szCs w:val="1"/>
                <w:color w:val="auto"/>
              </w:rPr>
            </w:pPr>
          </w:p>
        </w:tc>
      </w:tr>
      <w:tr>
        <w:trPr>
          <w:trHeight w:val="27"/>
        </w:trPr>
        <w:tc>
          <w:tcPr>
            <w:tcW w:w="4240" w:type="dxa"/>
            <w:vAlign w:val="bottom"/>
          </w:tcPr>
          <w:p>
            <w:pPr>
              <w:spacing w:after="0"/>
              <w:rPr>
                <w:sz w:val="2"/>
                <w:szCs w:val="2"/>
                <w:color w:val="auto"/>
              </w:rPr>
            </w:pPr>
          </w:p>
        </w:tc>
        <w:tc>
          <w:tcPr>
            <w:tcW w:w="3340" w:type="dxa"/>
            <w:vAlign w:val="bottom"/>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shareholders’ equity</w:t>
            </w:r>
          </w:p>
        </w:tc>
        <w:tc>
          <w:tcPr>
            <w:tcW w:w="33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30,368,590</w:t>
            </w:r>
          </w:p>
        </w:tc>
        <w:tc>
          <w:tcPr>
            <w:tcW w:w="12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b w:val="1"/>
                <w:bCs w:val="1"/>
                <w:color w:val="auto"/>
              </w:rPr>
              <w:t>28,459,620</w:t>
            </w:r>
          </w:p>
        </w:tc>
        <w:tc>
          <w:tcPr>
            <w:tcW w:w="10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4,125,778</w:t>
            </w:r>
          </w:p>
        </w:tc>
        <w:tc>
          <w:tcPr>
            <w:tcW w:w="0" w:type="dxa"/>
            <w:vAlign w:val="bottom"/>
          </w:tcPr>
          <w:p>
            <w:pPr>
              <w:spacing w:after="0"/>
              <w:rPr>
                <w:sz w:val="1"/>
                <w:szCs w:val="1"/>
                <w:color w:val="auto"/>
              </w:rPr>
            </w:pPr>
          </w:p>
        </w:tc>
      </w:tr>
      <w:tr>
        <w:trPr>
          <w:trHeight w:val="223"/>
        </w:trPr>
        <w:tc>
          <w:tcPr>
            <w:tcW w:w="42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 liabilities and shareholders’ equity</w:t>
            </w:r>
          </w:p>
        </w:tc>
        <w:tc>
          <w:tcPr>
            <w:tcW w:w="3340" w:type="dxa"/>
            <w:vAlign w:val="bottom"/>
          </w:tcPr>
          <w:p>
            <w:pPr>
              <w:spacing w:after="0"/>
              <w:rPr>
                <w:sz w:val="19"/>
                <w:szCs w:val="19"/>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103,162,630</w:t>
            </w:r>
          </w:p>
        </w:tc>
        <w:tc>
          <w:tcPr>
            <w:tcW w:w="220" w:type="dxa"/>
            <w:vAlign w:val="bottom"/>
          </w:tcPr>
          <w:p>
            <w:pPr>
              <w:spacing w:after="0"/>
              <w:rPr>
                <w:sz w:val="19"/>
                <w:szCs w:val="19"/>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100,812,589</w:t>
            </w:r>
          </w:p>
        </w:tc>
        <w:tc>
          <w:tcPr>
            <w:tcW w:w="220" w:type="dxa"/>
            <w:vAlign w:val="bottom"/>
          </w:tcPr>
          <w:p>
            <w:pPr>
              <w:spacing w:after="0"/>
              <w:rPr>
                <w:sz w:val="19"/>
                <w:szCs w:val="19"/>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14,614,756</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240" w:type="dxa"/>
            <w:vAlign w:val="bottom"/>
          </w:tcPr>
          <w:p>
            <w:pPr>
              <w:spacing w:after="0" w:line="20" w:lineRule="exact"/>
              <w:rPr>
                <w:sz w:val="1"/>
                <w:szCs w:val="1"/>
                <w:color w:val="auto"/>
              </w:rPr>
            </w:pPr>
          </w:p>
        </w:tc>
        <w:tc>
          <w:tcPr>
            <w:tcW w:w="3340" w:type="dxa"/>
            <w:vAlign w:val="bottom"/>
            <w:vMerge w:val="restart"/>
          </w:tcPr>
          <w:p>
            <w:pPr>
              <w:jc w:val="right"/>
              <w:ind w:right="1891"/>
              <w:spacing w:after="0"/>
              <w:rPr>
                <w:sz w:val="20"/>
                <w:szCs w:val="20"/>
                <w:color w:val="auto"/>
              </w:rPr>
            </w:pPr>
            <w:r>
              <w:rPr>
                <w:rFonts w:ascii="Times New Roman" w:cs="Times New Roman" w:eastAsia="Times New Roman" w:hAnsi="Times New Roman"/>
                <w:sz w:val="18"/>
                <w:szCs w:val="18"/>
                <w:color w:val="auto"/>
              </w:rPr>
              <w:t>10</w:t>
            </w:r>
          </w:p>
        </w:tc>
        <w:tc>
          <w:tcPr>
            <w:tcW w:w="9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4240" w:type="dxa"/>
            <w:vAlign w:val="bottom"/>
          </w:tcPr>
          <w:p>
            <w:pPr>
              <w:spacing w:after="0"/>
              <w:rPr>
                <w:sz w:val="24"/>
                <w:szCs w:val="24"/>
                <w:color w:val="auto"/>
              </w:rPr>
            </w:pPr>
          </w:p>
        </w:tc>
        <w:tc>
          <w:tcPr>
            <w:tcW w:w="3340" w:type="dxa"/>
            <w:vAlign w:val="bottom"/>
            <w:vMerge w:val="continue"/>
          </w:tcPr>
          <w:p>
            <w:pPr>
              <w:spacing w:after="0"/>
              <w:rPr>
                <w:sz w:val="24"/>
                <w:szCs w:val="24"/>
                <w:color w:val="auto"/>
              </w:rPr>
            </w:pPr>
          </w:p>
        </w:tc>
        <w:tc>
          <w:tcPr>
            <w:tcW w:w="9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020"/>
          </w:cols>
          <w:pgMar w:left="440" w:top="738" w:right="439" w:bottom="1440" w:gutter="0" w:footer="0" w:header="0"/>
        </w:sectPr>
      </w:pPr>
    </w:p>
    <w:bookmarkStart w:id="13" w:name="page14"/>
    <w:bookmarkEnd w:id="13"/>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74865" cy="3873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183515</wp:posOffset>
            </wp:positionV>
            <wp:extent cx="1251585" cy="14605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clrChange>
                        <a:clrFrom>
                          <a:srgbClr val="FFFFFF"/>
                        </a:clrFrom>
                        <a:clrTo>
                          <a:srgbClr val="FFFFFF">
                            <a:alpha val="0"/>
                          </a:srgbClr>
                        </a:clrTo>
                      </a:clrChange>
                      <a:extLst>
                        <a:ext uri="{28A0092B-C50C-407E-A947-70E740481C1C}"/>
                      </a:extLst>
                    </a:blip>
                    <a:srcRect/>
                    <a:stretch>
                      <a:fillRect/>
                    </a:stretch>
                  </pic:blipFill>
                  <pic:spPr bwMode="auto">
                    <a:xfrm>
                      <a:off x="0" y="0"/>
                      <a:ext cx="1251585" cy="146050"/>
                    </a:xfrm>
                    <a:prstGeom prst="rect">
                      <a:avLst/>
                    </a:prstGeom>
                    <a:noFill/>
                  </pic:spPr>
                </pic:pic>
              </a:graphicData>
            </a:graphic>
          </wp:anchor>
        </w:drawing>
        <w:t>XPENG INC.</w:t>
      </w:r>
    </w:p>
    <w:p>
      <w:pPr>
        <w:spacing w:after="0" w:line="3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UNAUDITED CONDENSED CONSOLIDATED STATEMENTS OF COMPREHENSIVE PROFIT/(LOSS)</w:t>
      </w:r>
    </w:p>
    <w:p>
      <w:pPr>
        <w:spacing w:after="0" w:line="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(All amounts in thousands, except for ADS/ordinary share and per ADS/ordinary share data)</w:t>
      </w:r>
    </w:p>
    <w:p>
      <w:pPr>
        <w:spacing w:after="0" w:line="21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620" w:type="dxa"/>
            <w:vAlign w:val="bottom"/>
          </w:tcPr>
          <w:p>
            <w:pPr>
              <w:spacing w:after="0"/>
              <w:rPr>
                <w:sz w:val="13"/>
                <w:szCs w:val="13"/>
                <w:color w:val="auto"/>
              </w:rPr>
            </w:pPr>
          </w:p>
        </w:tc>
        <w:tc>
          <w:tcPr>
            <w:tcW w:w="1160" w:type="dxa"/>
            <w:vAlign w:val="bottom"/>
            <w:gridSpan w:val="2"/>
            <w:vMerge w:val="restart"/>
          </w:tcPr>
          <w:p>
            <w:pPr>
              <w:jc w:val="right"/>
              <w:ind w:right="321"/>
              <w:spacing w:after="0"/>
              <w:rPr>
                <w:sz w:val="20"/>
                <w:szCs w:val="20"/>
                <w:color w:val="auto"/>
              </w:rPr>
            </w:pPr>
            <w:r>
              <w:rPr>
                <w:rFonts w:ascii="Times New Roman" w:cs="Times New Roman" w:eastAsia="Times New Roman" w:hAnsi="Times New Roman"/>
                <w:sz w:val="14"/>
                <w:szCs w:val="14"/>
                <w:color w:val="auto"/>
              </w:rPr>
              <w:t>March 31,</w:t>
            </w:r>
          </w:p>
        </w:tc>
        <w:tc>
          <w:tcPr>
            <w:tcW w:w="2280" w:type="dxa"/>
            <w:vAlign w:val="bottom"/>
            <w:gridSpan w:val="4"/>
          </w:tcPr>
          <w:p>
            <w:pPr>
              <w:jc w:val="right"/>
              <w:ind w:right="561"/>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960" w:type="dxa"/>
            <w:vAlign w:val="bottom"/>
            <w:gridSpan w:val="2"/>
            <w:vMerge w:val="restart"/>
          </w:tcPr>
          <w:p>
            <w:pPr>
              <w:jc w:val="center"/>
              <w:ind w:right="21"/>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0" w:type="dxa"/>
            <w:vAlign w:val="bottom"/>
          </w:tcPr>
          <w:p>
            <w:pPr>
              <w:spacing w:after="0"/>
              <w:rPr>
                <w:sz w:val="1"/>
                <w:szCs w:val="1"/>
                <w:color w:val="auto"/>
              </w:rPr>
            </w:pPr>
          </w:p>
        </w:tc>
      </w:tr>
      <w:tr>
        <w:trPr>
          <w:trHeight w:val="148"/>
        </w:trPr>
        <w:tc>
          <w:tcPr>
            <w:tcW w:w="6620" w:type="dxa"/>
            <w:vAlign w:val="bottom"/>
          </w:tcPr>
          <w:p>
            <w:pPr>
              <w:spacing w:after="0"/>
              <w:rPr>
                <w:sz w:val="12"/>
                <w:szCs w:val="12"/>
                <w:color w:val="auto"/>
              </w:rPr>
            </w:pPr>
          </w:p>
        </w:tc>
        <w:tc>
          <w:tcPr>
            <w:tcW w:w="1160" w:type="dxa"/>
            <w:vAlign w:val="bottom"/>
            <w:gridSpan w:val="2"/>
            <w:vMerge w:val="continue"/>
          </w:tcPr>
          <w:p>
            <w:pPr>
              <w:spacing w:after="0"/>
              <w:rPr>
                <w:sz w:val="12"/>
                <w:szCs w:val="12"/>
                <w:color w:val="auto"/>
              </w:rPr>
            </w:pPr>
          </w:p>
        </w:tc>
        <w:tc>
          <w:tcPr>
            <w:tcW w:w="1140" w:type="dxa"/>
            <w:vAlign w:val="bottom"/>
            <w:gridSpan w:val="2"/>
          </w:tcPr>
          <w:p>
            <w:pPr>
              <w:jc w:val="right"/>
              <w:ind w:right="201"/>
              <w:spacing w:after="0" w:line="149" w:lineRule="exact"/>
              <w:rPr>
                <w:sz w:val="20"/>
                <w:szCs w:val="20"/>
                <w:color w:val="auto"/>
              </w:rPr>
            </w:pPr>
            <w:r>
              <w:rPr>
                <w:rFonts w:ascii="Times New Roman" w:cs="Times New Roman" w:eastAsia="Times New Roman" w:hAnsi="Times New Roman"/>
                <w:sz w:val="14"/>
                <w:szCs w:val="14"/>
                <w:color w:val="auto"/>
              </w:rPr>
              <w:t>December 31,</w:t>
            </w:r>
          </w:p>
        </w:tc>
        <w:tc>
          <w:tcPr>
            <w:tcW w:w="1140" w:type="dxa"/>
            <w:vAlign w:val="bottom"/>
            <w:gridSpan w:val="2"/>
          </w:tcPr>
          <w:p>
            <w:pPr>
              <w:jc w:val="center"/>
              <w:ind w:right="121"/>
              <w:spacing w:after="0" w:line="149" w:lineRule="exact"/>
              <w:rPr>
                <w:sz w:val="20"/>
                <w:szCs w:val="20"/>
                <w:color w:val="auto"/>
              </w:rPr>
            </w:pPr>
            <w:r>
              <w:rPr>
                <w:rFonts w:ascii="Times New Roman" w:cs="Times New Roman" w:eastAsia="Times New Roman" w:hAnsi="Times New Roman"/>
                <w:sz w:val="14"/>
                <w:szCs w:val="14"/>
                <w:b w:val="1"/>
                <w:bCs w:val="1"/>
                <w:color w:val="auto"/>
              </w:rPr>
              <w:t>March 31,</w:t>
            </w:r>
          </w:p>
        </w:tc>
        <w:tc>
          <w:tcPr>
            <w:tcW w:w="96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6620" w:type="dxa"/>
            <w:vAlign w:val="bottom"/>
          </w:tcPr>
          <w:p>
            <w:pPr>
              <w:spacing w:after="0"/>
              <w:rPr>
                <w:sz w:val="12"/>
                <w:szCs w:val="12"/>
                <w:color w:val="auto"/>
              </w:rPr>
            </w:pPr>
          </w:p>
        </w:tc>
        <w:tc>
          <w:tcPr>
            <w:tcW w:w="940" w:type="dxa"/>
            <w:vAlign w:val="bottom"/>
          </w:tcPr>
          <w:p>
            <w:pPr>
              <w:jc w:val="right"/>
              <w:ind w:right="232"/>
              <w:spacing w:after="0" w:line="147" w:lineRule="exact"/>
              <w:rPr>
                <w:sz w:val="20"/>
                <w:szCs w:val="20"/>
                <w:color w:val="auto"/>
              </w:rPr>
            </w:pPr>
            <w:r>
              <w:rPr>
                <w:rFonts w:ascii="Times New Roman" w:cs="Times New Roman" w:eastAsia="Times New Roman" w:hAnsi="Times New Roman"/>
                <w:sz w:val="14"/>
                <w:szCs w:val="14"/>
                <w:color w:val="auto"/>
              </w:rPr>
              <w:t>2025</w:t>
            </w:r>
          </w:p>
        </w:tc>
        <w:tc>
          <w:tcPr>
            <w:tcW w:w="220" w:type="dxa"/>
            <w:vAlign w:val="bottom"/>
          </w:tcPr>
          <w:p>
            <w:pPr>
              <w:spacing w:after="0"/>
              <w:rPr>
                <w:sz w:val="12"/>
                <w:szCs w:val="12"/>
                <w:color w:val="auto"/>
              </w:rPr>
            </w:pPr>
          </w:p>
        </w:tc>
        <w:tc>
          <w:tcPr>
            <w:tcW w:w="920" w:type="dxa"/>
            <w:vAlign w:val="bottom"/>
          </w:tcPr>
          <w:p>
            <w:pPr>
              <w:jc w:val="right"/>
              <w:ind w:right="233"/>
              <w:spacing w:after="0" w:line="147" w:lineRule="exact"/>
              <w:rPr>
                <w:sz w:val="20"/>
                <w:szCs w:val="20"/>
                <w:color w:val="auto"/>
              </w:rPr>
            </w:pPr>
            <w:r>
              <w:rPr>
                <w:rFonts w:ascii="Times New Roman" w:cs="Times New Roman" w:eastAsia="Times New Roman" w:hAnsi="Times New Roman"/>
                <w:sz w:val="14"/>
                <w:szCs w:val="14"/>
                <w:color w:val="auto"/>
              </w:rPr>
              <w:t>2025</w:t>
            </w:r>
          </w:p>
        </w:tc>
        <w:tc>
          <w:tcPr>
            <w:tcW w:w="220" w:type="dxa"/>
            <w:vAlign w:val="bottom"/>
          </w:tcPr>
          <w:p>
            <w:pPr>
              <w:spacing w:after="0"/>
              <w:rPr>
                <w:sz w:val="12"/>
                <w:szCs w:val="12"/>
                <w:color w:val="auto"/>
              </w:rPr>
            </w:pPr>
          </w:p>
        </w:tc>
        <w:tc>
          <w:tcPr>
            <w:tcW w:w="940" w:type="dxa"/>
            <w:vAlign w:val="bottom"/>
          </w:tcPr>
          <w:p>
            <w:pPr>
              <w:jc w:val="center"/>
              <w:spacing w:after="0" w:line="147" w:lineRule="exact"/>
              <w:rPr>
                <w:sz w:val="20"/>
                <w:szCs w:val="20"/>
                <w:color w:val="auto"/>
              </w:rPr>
            </w:pPr>
            <w:r>
              <w:rPr>
                <w:rFonts w:ascii="Times New Roman" w:cs="Times New Roman" w:eastAsia="Times New Roman" w:hAnsi="Times New Roman"/>
                <w:sz w:val="14"/>
                <w:szCs w:val="14"/>
                <w:b w:val="1"/>
                <w:bCs w:val="1"/>
                <w:color w:val="auto"/>
                <w:w w:val="99"/>
              </w:rPr>
              <w:t>2026</w:t>
            </w:r>
          </w:p>
        </w:tc>
        <w:tc>
          <w:tcPr>
            <w:tcW w:w="200" w:type="dxa"/>
            <w:vAlign w:val="bottom"/>
          </w:tcPr>
          <w:p>
            <w:pPr>
              <w:spacing w:after="0"/>
              <w:rPr>
                <w:sz w:val="12"/>
                <w:szCs w:val="12"/>
                <w:color w:val="auto"/>
              </w:rPr>
            </w:pPr>
          </w:p>
        </w:tc>
        <w:tc>
          <w:tcPr>
            <w:tcW w:w="840" w:type="dxa"/>
            <w:vAlign w:val="bottom"/>
          </w:tcPr>
          <w:p>
            <w:pPr>
              <w:jc w:val="center"/>
              <w:spacing w:after="0" w:line="147" w:lineRule="exact"/>
              <w:rPr>
                <w:sz w:val="20"/>
                <w:szCs w:val="20"/>
                <w:color w:val="auto"/>
              </w:rPr>
            </w:pPr>
            <w:r>
              <w:rPr>
                <w:rFonts w:ascii="Times New Roman" w:cs="Times New Roman" w:eastAsia="Times New Roman" w:hAnsi="Times New Roman"/>
                <w:sz w:val="14"/>
                <w:szCs w:val="14"/>
                <w:b w:val="1"/>
                <w:bCs w:val="1"/>
                <w:color w:val="auto"/>
                <w:w w:val="99"/>
              </w:rPr>
              <w:t>2026</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5"/>
        </w:trPr>
        <w:tc>
          <w:tcPr>
            <w:tcW w:w="6620" w:type="dxa"/>
            <w:vAlign w:val="bottom"/>
          </w:tcPr>
          <w:p>
            <w:pPr>
              <w:spacing w:after="0"/>
              <w:rPr>
                <w:sz w:val="15"/>
                <w:szCs w:val="15"/>
                <w:color w:val="auto"/>
              </w:rPr>
            </w:pPr>
          </w:p>
        </w:tc>
        <w:tc>
          <w:tcPr>
            <w:tcW w:w="1160" w:type="dxa"/>
            <w:vAlign w:val="bottom"/>
            <w:gridSpan w:val="2"/>
          </w:tcPr>
          <w:p>
            <w:pPr>
              <w:jc w:val="right"/>
              <w:ind w:right="461"/>
              <w:spacing w:after="0"/>
              <w:rPr>
                <w:sz w:val="20"/>
                <w:szCs w:val="20"/>
                <w:color w:val="auto"/>
              </w:rPr>
            </w:pPr>
            <w:r>
              <w:rPr>
                <w:rFonts w:ascii="Times New Roman" w:cs="Times New Roman" w:eastAsia="Times New Roman" w:hAnsi="Times New Roman"/>
                <w:sz w:val="14"/>
                <w:szCs w:val="14"/>
                <w:i w:val="1"/>
                <w:iCs w:val="1"/>
                <w:color w:val="auto"/>
              </w:rPr>
              <w:t>RMB</w:t>
            </w:r>
          </w:p>
        </w:tc>
        <w:tc>
          <w:tcPr>
            <w:tcW w:w="1140" w:type="dxa"/>
            <w:vAlign w:val="bottom"/>
            <w:gridSpan w:val="2"/>
          </w:tcPr>
          <w:p>
            <w:pPr>
              <w:jc w:val="right"/>
              <w:ind w:right="461"/>
              <w:spacing w:after="0"/>
              <w:rPr>
                <w:sz w:val="20"/>
                <w:szCs w:val="20"/>
                <w:color w:val="auto"/>
              </w:rPr>
            </w:pPr>
            <w:r>
              <w:rPr>
                <w:rFonts w:ascii="Times New Roman" w:cs="Times New Roman" w:eastAsia="Times New Roman" w:hAnsi="Times New Roman"/>
                <w:sz w:val="14"/>
                <w:szCs w:val="14"/>
                <w:i w:val="1"/>
                <w:iCs w:val="1"/>
                <w:color w:val="auto"/>
              </w:rPr>
              <w:t>RMB</w:t>
            </w:r>
          </w:p>
        </w:tc>
        <w:tc>
          <w:tcPr>
            <w:tcW w:w="1140" w:type="dxa"/>
            <w:vAlign w:val="bottom"/>
            <w:gridSpan w:val="2"/>
          </w:tcPr>
          <w:p>
            <w:pPr>
              <w:jc w:val="center"/>
              <w:ind w:right="141"/>
              <w:spacing w:after="0"/>
              <w:rPr>
                <w:sz w:val="20"/>
                <w:szCs w:val="20"/>
                <w:color w:val="auto"/>
              </w:rPr>
            </w:pPr>
            <w:r>
              <w:rPr>
                <w:rFonts w:ascii="Times New Roman" w:cs="Times New Roman" w:eastAsia="Times New Roman" w:hAnsi="Times New Roman"/>
                <w:sz w:val="14"/>
                <w:szCs w:val="14"/>
                <w:b w:val="1"/>
                <w:bCs w:val="1"/>
                <w:i w:val="1"/>
                <w:iCs w:val="1"/>
                <w:color w:val="auto"/>
              </w:rPr>
              <w:t>RMB</w:t>
            </w:r>
          </w:p>
        </w:tc>
        <w:tc>
          <w:tcPr>
            <w:tcW w:w="960" w:type="dxa"/>
            <w:vAlign w:val="bottom"/>
            <w:gridSpan w:val="2"/>
          </w:tcPr>
          <w:p>
            <w:pPr>
              <w:jc w:val="center"/>
              <w:ind w:right="21"/>
              <w:spacing w:after="0"/>
              <w:rPr>
                <w:sz w:val="20"/>
                <w:szCs w:val="20"/>
                <w:color w:val="auto"/>
              </w:rPr>
            </w:pPr>
            <w:r>
              <w:rPr>
                <w:rFonts w:ascii="Times New Roman" w:cs="Times New Roman" w:eastAsia="Times New Roman" w:hAnsi="Times New Roman"/>
                <w:sz w:val="14"/>
                <w:szCs w:val="14"/>
                <w:b w:val="1"/>
                <w:bCs w:val="1"/>
                <w:i w:val="1"/>
                <w:iCs w:val="1"/>
                <w:color w:val="auto"/>
              </w:rPr>
              <w:t>US$</w:t>
            </w:r>
          </w:p>
        </w:tc>
        <w:tc>
          <w:tcPr>
            <w:tcW w:w="0" w:type="dxa"/>
            <w:vAlign w:val="bottom"/>
          </w:tcPr>
          <w:p>
            <w:pPr>
              <w:spacing w:after="0"/>
              <w:rPr>
                <w:sz w:val="1"/>
                <w:szCs w:val="1"/>
                <w:color w:val="auto"/>
              </w:rPr>
            </w:pPr>
          </w:p>
        </w:tc>
      </w:tr>
      <w:tr>
        <w:trPr>
          <w:trHeight w:val="216"/>
        </w:trPr>
        <w:tc>
          <w:tcPr>
            <w:tcW w:w="6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Revenues</w:t>
            </w:r>
          </w:p>
        </w:tc>
        <w:tc>
          <w:tcPr>
            <w:tcW w:w="9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Vehicle sales</w:t>
            </w:r>
          </w:p>
        </w:tc>
        <w:tc>
          <w:tcPr>
            <w:tcW w:w="116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14,369,298</w:t>
            </w:r>
          </w:p>
        </w:tc>
        <w:tc>
          <w:tcPr>
            <w:tcW w:w="114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19,072,174</w:t>
            </w:r>
          </w:p>
        </w:tc>
        <w:tc>
          <w:tcPr>
            <w:tcW w:w="1140" w:type="dxa"/>
            <w:vAlign w:val="bottom"/>
            <w:gridSpan w:val="2"/>
          </w:tcPr>
          <w:p>
            <w:pPr>
              <w:jc w:val="right"/>
              <w:ind w:right="121"/>
              <w:spacing w:after="0"/>
              <w:rPr>
                <w:sz w:val="20"/>
                <w:szCs w:val="20"/>
                <w:color w:val="auto"/>
              </w:rPr>
            </w:pPr>
            <w:r>
              <w:rPr>
                <w:rFonts w:ascii="Times New Roman" w:cs="Times New Roman" w:eastAsia="Times New Roman" w:hAnsi="Times New Roman"/>
                <w:sz w:val="18"/>
                <w:szCs w:val="18"/>
                <w:b w:val="1"/>
                <w:bCs w:val="1"/>
                <w:color w:val="auto"/>
              </w:rPr>
              <w:t>10,999,321</w:t>
            </w:r>
          </w:p>
        </w:tc>
        <w:tc>
          <w:tcPr>
            <w:tcW w:w="960" w:type="dxa"/>
            <w:vAlign w:val="bottom"/>
            <w:gridSpan w:val="2"/>
          </w:tcPr>
          <w:p>
            <w:pPr>
              <w:jc w:val="right"/>
              <w:ind w:right="41"/>
              <w:spacing w:after="0"/>
              <w:rPr>
                <w:sz w:val="20"/>
                <w:szCs w:val="20"/>
                <w:color w:val="auto"/>
              </w:rPr>
            </w:pPr>
            <w:r>
              <w:rPr>
                <w:rFonts w:ascii="Times New Roman" w:cs="Times New Roman" w:eastAsia="Times New Roman" w:hAnsi="Times New Roman"/>
                <w:sz w:val="18"/>
                <w:szCs w:val="18"/>
                <w:b w:val="1"/>
                <w:bCs w:val="1"/>
                <w:color w:val="auto"/>
              </w:rPr>
              <w:t>1,594,567</w:t>
            </w:r>
          </w:p>
        </w:tc>
        <w:tc>
          <w:tcPr>
            <w:tcW w:w="0" w:type="dxa"/>
            <w:vAlign w:val="bottom"/>
          </w:tcPr>
          <w:p>
            <w:pPr>
              <w:spacing w:after="0"/>
              <w:rPr>
                <w:sz w:val="1"/>
                <w:szCs w:val="1"/>
                <w:color w:val="auto"/>
              </w:rPr>
            </w:pPr>
          </w:p>
        </w:tc>
      </w:tr>
      <w:tr>
        <w:trPr>
          <w:trHeight w:val="216"/>
        </w:trPr>
        <w:tc>
          <w:tcPr>
            <w:tcW w:w="66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Services and others</w:t>
            </w:r>
          </w:p>
        </w:tc>
        <w:tc>
          <w:tcPr>
            <w:tcW w:w="116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1,441,330</w:t>
            </w:r>
          </w:p>
        </w:tc>
        <w:tc>
          <w:tcPr>
            <w:tcW w:w="114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3,181,585</w:t>
            </w:r>
          </w:p>
        </w:tc>
        <w:tc>
          <w:tcPr>
            <w:tcW w:w="1140" w:type="dxa"/>
            <w:vAlign w:val="bottom"/>
            <w:gridSpan w:val="2"/>
            <w:shd w:val="clear" w:color="auto" w:fill="CCEEFF"/>
          </w:tcPr>
          <w:p>
            <w:pPr>
              <w:jc w:val="right"/>
              <w:ind w:right="121"/>
              <w:spacing w:after="0"/>
              <w:rPr>
                <w:sz w:val="20"/>
                <w:szCs w:val="20"/>
                <w:color w:val="auto"/>
              </w:rPr>
            </w:pPr>
            <w:r>
              <w:rPr>
                <w:rFonts w:ascii="Times New Roman" w:cs="Times New Roman" w:eastAsia="Times New Roman" w:hAnsi="Times New Roman"/>
                <w:sz w:val="18"/>
                <w:szCs w:val="18"/>
                <w:b w:val="1"/>
                <w:bCs w:val="1"/>
                <w:color w:val="auto"/>
              </w:rPr>
              <w:t>2,034,460</w:t>
            </w:r>
          </w:p>
        </w:tc>
        <w:tc>
          <w:tcPr>
            <w:tcW w:w="960" w:type="dxa"/>
            <w:vAlign w:val="bottom"/>
            <w:gridSpan w:val="2"/>
            <w:shd w:val="clear" w:color="auto" w:fill="CCEEFF"/>
          </w:tcPr>
          <w:p>
            <w:pPr>
              <w:jc w:val="right"/>
              <w:ind w:right="41"/>
              <w:spacing w:after="0"/>
              <w:rPr>
                <w:sz w:val="20"/>
                <w:szCs w:val="20"/>
                <w:color w:val="auto"/>
              </w:rPr>
            </w:pPr>
            <w:r>
              <w:rPr>
                <w:rFonts w:ascii="Times New Roman" w:cs="Times New Roman" w:eastAsia="Times New Roman" w:hAnsi="Times New Roman"/>
                <w:sz w:val="18"/>
                <w:szCs w:val="18"/>
                <w:b w:val="1"/>
                <w:bCs w:val="1"/>
                <w:color w:val="auto"/>
              </w:rPr>
              <w:t>294,935</w:t>
            </w:r>
          </w:p>
        </w:tc>
        <w:tc>
          <w:tcPr>
            <w:tcW w:w="0" w:type="dxa"/>
            <w:vAlign w:val="bottom"/>
          </w:tcPr>
          <w:p>
            <w:pPr>
              <w:spacing w:after="0"/>
              <w:rPr>
                <w:sz w:val="1"/>
                <w:szCs w:val="1"/>
                <w:color w:val="auto"/>
              </w:rPr>
            </w:pPr>
          </w:p>
        </w:tc>
      </w:tr>
      <w:tr>
        <w:trPr>
          <w:trHeight w:val="230"/>
        </w:trPr>
        <w:tc>
          <w:tcPr>
            <w:tcW w:w="66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 revenues</w:t>
            </w: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15,810,628</w:t>
            </w:r>
          </w:p>
        </w:tc>
        <w:tc>
          <w:tcPr>
            <w:tcW w:w="220" w:type="dxa"/>
            <w:vAlign w:val="bottom"/>
          </w:tcPr>
          <w:p>
            <w:pPr>
              <w:spacing w:after="0"/>
              <w:rPr>
                <w:sz w:val="20"/>
                <w:szCs w:val="20"/>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22,253,759</w:t>
            </w:r>
          </w:p>
        </w:tc>
        <w:tc>
          <w:tcPr>
            <w:tcW w:w="220" w:type="dxa"/>
            <w:vAlign w:val="bottom"/>
          </w:tcPr>
          <w:p>
            <w:pPr>
              <w:spacing w:after="0"/>
              <w:rPr>
                <w:sz w:val="20"/>
                <w:szCs w:val="20"/>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13,033,781</w:t>
            </w:r>
          </w:p>
        </w:tc>
        <w:tc>
          <w:tcPr>
            <w:tcW w:w="200" w:type="dxa"/>
            <w:vAlign w:val="bottom"/>
          </w:tcPr>
          <w:p>
            <w:pPr>
              <w:spacing w:after="0"/>
              <w:rPr>
                <w:sz w:val="20"/>
                <w:szCs w:val="20"/>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1,889,502</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6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Cost of sales</w:t>
            </w:r>
          </w:p>
        </w:tc>
        <w:tc>
          <w:tcPr>
            <w:tcW w:w="9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Vehicle sales</w:t>
            </w:r>
          </w:p>
        </w:tc>
        <w:tc>
          <w:tcPr>
            <w:tcW w:w="116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(12,866,303)</w:t>
            </w:r>
          </w:p>
        </w:tc>
        <w:tc>
          <w:tcPr>
            <w:tcW w:w="114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(16,583,754)</w:t>
            </w:r>
          </w:p>
        </w:tc>
        <w:tc>
          <w:tcPr>
            <w:tcW w:w="114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b w:val="1"/>
                <w:bCs w:val="1"/>
                <w:color w:val="auto"/>
              </w:rPr>
              <w:t>(9,669,451)</w:t>
            </w: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(1,401,776)</w:t>
            </w:r>
          </w:p>
        </w:tc>
        <w:tc>
          <w:tcPr>
            <w:tcW w:w="0" w:type="dxa"/>
            <w:vAlign w:val="bottom"/>
          </w:tcPr>
          <w:p>
            <w:pPr>
              <w:spacing w:after="0"/>
              <w:rPr>
                <w:sz w:val="1"/>
                <w:szCs w:val="1"/>
                <w:color w:val="auto"/>
              </w:rPr>
            </w:pPr>
          </w:p>
        </w:tc>
      </w:tr>
      <w:tr>
        <w:trPr>
          <w:trHeight w:val="216"/>
        </w:trPr>
        <w:tc>
          <w:tcPr>
            <w:tcW w:w="66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Services and others</w:t>
            </w:r>
          </w:p>
        </w:tc>
        <w:tc>
          <w:tcPr>
            <w:tcW w:w="116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(484,795)</w:t>
            </w:r>
          </w:p>
        </w:tc>
        <w:tc>
          <w:tcPr>
            <w:tcW w:w="114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(928,199)</w:t>
            </w:r>
          </w:p>
        </w:tc>
        <w:tc>
          <w:tcPr>
            <w:tcW w:w="1140" w:type="dxa"/>
            <w:vAlign w:val="bottom"/>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8"/>
                <w:szCs w:val="18"/>
                <w:b w:val="1"/>
                <w:bCs w:val="1"/>
                <w:color w:val="auto"/>
              </w:rPr>
              <w:t>(681,737)</w:t>
            </w:r>
          </w:p>
        </w:tc>
        <w:tc>
          <w:tcPr>
            <w:tcW w:w="9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(98,831)</w:t>
            </w:r>
          </w:p>
        </w:tc>
        <w:tc>
          <w:tcPr>
            <w:tcW w:w="0" w:type="dxa"/>
            <w:vAlign w:val="bottom"/>
          </w:tcPr>
          <w:p>
            <w:pPr>
              <w:spacing w:after="0"/>
              <w:rPr>
                <w:sz w:val="1"/>
                <w:szCs w:val="1"/>
                <w:color w:val="auto"/>
              </w:rPr>
            </w:pPr>
          </w:p>
        </w:tc>
      </w:tr>
      <w:tr>
        <w:trPr>
          <w:trHeight w:val="230"/>
        </w:trPr>
        <w:tc>
          <w:tcPr>
            <w:tcW w:w="66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 cost of sales</w:t>
            </w: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(13,351,098</w:t>
            </w:r>
          </w:p>
        </w:tc>
        <w:tc>
          <w:tcPr>
            <w:tcW w:w="220" w:type="dxa"/>
            <w:vAlign w:val="bottom"/>
          </w:tcPr>
          <w:p>
            <w:pPr>
              <w:jc w:val="right"/>
              <w:ind w:right="81"/>
              <w:spacing w:after="0"/>
              <w:rPr>
                <w:sz w:val="20"/>
                <w:szCs w:val="20"/>
                <w:color w:val="auto"/>
              </w:rPr>
            </w:pPr>
            <w:r>
              <w:rPr>
                <w:rFonts w:ascii="Times New Roman" w:cs="Times New Roman" w:eastAsia="Times New Roman" w:hAnsi="Times New Roman"/>
                <w:sz w:val="16"/>
                <w:szCs w:val="16"/>
                <w:color w:val="auto"/>
                <w:w w:val="74"/>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(17,511,953</w:t>
            </w:r>
          </w:p>
        </w:tc>
        <w:tc>
          <w:tcPr>
            <w:tcW w:w="220" w:type="dxa"/>
            <w:vAlign w:val="bottom"/>
          </w:tcPr>
          <w:p>
            <w:pPr>
              <w:jc w:val="right"/>
              <w:ind w:right="81"/>
              <w:spacing w:after="0"/>
              <w:rPr>
                <w:sz w:val="20"/>
                <w:szCs w:val="20"/>
                <w:color w:val="auto"/>
              </w:rPr>
            </w:pPr>
            <w:r>
              <w:rPr>
                <w:rFonts w:ascii="Times New Roman" w:cs="Times New Roman" w:eastAsia="Times New Roman" w:hAnsi="Times New Roman"/>
                <w:sz w:val="16"/>
                <w:szCs w:val="16"/>
                <w:color w:val="auto"/>
                <w:w w:val="74"/>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(10,351,188</w:t>
            </w:r>
          </w:p>
        </w:tc>
        <w:tc>
          <w:tcPr>
            <w:tcW w:w="200" w:type="dxa"/>
            <w:vAlign w:val="bottom"/>
          </w:tcPr>
          <w:p>
            <w:pPr>
              <w:jc w:val="right"/>
              <w:ind w:right="61"/>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(1,500,607</w:t>
            </w: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0" w:type="dxa"/>
            <w:vAlign w:val="bottom"/>
          </w:tcPr>
          <w:p>
            <w:pPr>
              <w:spacing w:after="0"/>
              <w:rPr>
                <w:sz w:val="1"/>
                <w:szCs w:val="1"/>
                <w:color w:val="auto"/>
              </w:rPr>
            </w:pPr>
          </w:p>
        </w:tc>
      </w:tr>
      <w:tr>
        <w:trPr>
          <w:trHeight w:val="216"/>
        </w:trPr>
        <w:tc>
          <w:tcPr>
            <w:tcW w:w="6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Gross profit</w:t>
            </w:r>
          </w:p>
        </w:tc>
        <w:tc>
          <w:tcPr>
            <w:tcW w:w="116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2,459,530</w:t>
            </w:r>
          </w:p>
        </w:tc>
        <w:tc>
          <w:tcPr>
            <w:tcW w:w="114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4,741,806</w:t>
            </w:r>
          </w:p>
        </w:tc>
        <w:tc>
          <w:tcPr>
            <w:tcW w:w="1140" w:type="dxa"/>
            <w:vAlign w:val="bottom"/>
            <w:gridSpan w:val="2"/>
            <w:shd w:val="clear" w:color="auto" w:fill="CCEEFF"/>
          </w:tcPr>
          <w:p>
            <w:pPr>
              <w:jc w:val="right"/>
              <w:ind w:right="121"/>
              <w:spacing w:after="0"/>
              <w:rPr>
                <w:sz w:val="20"/>
                <w:szCs w:val="20"/>
                <w:color w:val="auto"/>
              </w:rPr>
            </w:pPr>
            <w:r>
              <w:rPr>
                <w:rFonts w:ascii="Times New Roman" w:cs="Times New Roman" w:eastAsia="Times New Roman" w:hAnsi="Times New Roman"/>
                <w:sz w:val="18"/>
                <w:szCs w:val="18"/>
                <w:b w:val="1"/>
                <w:bCs w:val="1"/>
                <w:color w:val="auto"/>
              </w:rPr>
              <w:t>2,682,593</w:t>
            </w:r>
          </w:p>
        </w:tc>
        <w:tc>
          <w:tcPr>
            <w:tcW w:w="960" w:type="dxa"/>
            <w:vAlign w:val="bottom"/>
            <w:gridSpan w:val="2"/>
            <w:shd w:val="clear" w:color="auto" w:fill="CCEEFF"/>
          </w:tcPr>
          <w:p>
            <w:pPr>
              <w:jc w:val="right"/>
              <w:ind w:right="41"/>
              <w:spacing w:after="0"/>
              <w:rPr>
                <w:sz w:val="20"/>
                <w:szCs w:val="20"/>
                <w:color w:val="auto"/>
              </w:rPr>
            </w:pPr>
            <w:r>
              <w:rPr>
                <w:rFonts w:ascii="Times New Roman" w:cs="Times New Roman" w:eastAsia="Times New Roman" w:hAnsi="Times New Roman"/>
                <w:sz w:val="18"/>
                <w:szCs w:val="18"/>
                <w:b w:val="1"/>
                <w:bCs w:val="1"/>
                <w:color w:val="auto"/>
              </w:rPr>
              <w:t>388,895</w:t>
            </w:r>
          </w:p>
        </w:tc>
        <w:tc>
          <w:tcPr>
            <w:tcW w:w="0" w:type="dxa"/>
            <w:vAlign w:val="bottom"/>
          </w:tcPr>
          <w:p>
            <w:pPr>
              <w:spacing w:after="0"/>
              <w:rPr>
                <w:sz w:val="1"/>
                <w:szCs w:val="1"/>
                <w:color w:val="auto"/>
              </w:rPr>
            </w:pPr>
          </w:p>
        </w:tc>
      </w:tr>
      <w:tr>
        <w:trPr>
          <w:trHeight w:val="223"/>
        </w:trPr>
        <w:tc>
          <w:tcPr>
            <w:tcW w:w="66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Operating expenses</w:t>
            </w:r>
          </w:p>
        </w:tc>
        <w:tc>
          <w:tcPr>
            <w:tcW w:w="940" w:type="dxa"/>
            <w:vAlign w:val="bottom"/>
            <w:tcBorders>
              <w:top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920" w:type="dxa"/>
            <w:vAlign w:val="bottom"/>
            <w:tcBorders>
              <w:top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940" w:type="dxa"/>
            <w:vAlign w:val="bottom"/>
            <w:tcBorders>
              <w:top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84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66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Research and development expenses</w:t>
            </w:r>
          </w:p>
        </w:tc>
        <w:tc>
          <w:tcPr>
            <w:tcW w:w="116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(1,980,724)</w:t>
            </w:r>
          </w:p>
        </w:tc>
        <w:tc>
          <w:tcPr>
            <w:tcW w:w="114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(2,874,248)</w:t>
            </w:r>
          </w:p>
        </w:tc>
        <w:tc>
          <w:tcPr>
            <w:tcW w:w="1140" w:type="dxa"/>
            <w:vAlign w:val="bottom"/>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8"/>
                <w:szCs w:val="18"/>
                <w:b w:val="1"/>
                <w:bCs w:val="1"/>
                <w:color w:val="auto"/>
              </w:rPr>
              <w:t>(2,906,991)</w:t>
            </w:r>
          </w:p>
        </w:tc>
        <w:tc>
          <w:tcPr>
            <w:tcW w:w="9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(421,425)</w:t>
            </w:r>
          </w:p>
        </w:tc>
        <w:tc>
          <w:tcPr>
            <w:tcW w:w="0" w:type="dxa"/>
            <w:vAlign w:val="bottom"/>
          </w:tcPr>
          <w:p>
            <w:pPr>
              <w:spacing w:after="0"/>
              <w:rPr>
                <w:sz w:val="1"/>
                <w:szCs w:val="1"/>
                <w:color w:val="auto"/>
              </w:rPr>
            </w:pPr>
          </w:p>
        </w:tc>
      </w:tr>
      <w:tr>
        <w:trPr>
          <w:trHeight w:val="216"/>
        </w:trPr>
        <w:tc>
          <w:tcPr>
            <w:tcW w:w="66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Selling, general and administrative expenses</w:t>
            </w:r>
          </w:p>
        </w:tc>
        <w:tc>
          <w:tcPr>
            <w:tcW w:w="116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(1,946,064)</w:t>
            </w:r>
          </w:p>
        </w:tc>
        <w:tc>
          <w:tcPr>
            <w:tcW w:w="114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(2,792,254)</w:t>
            </w:r>
          </w:p>
        </w:tc>
        <w:tc>
          <w:tcPr>
            <w:tcW w:w="114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b w:val="1"/>
                <w:bCs w:val="1"/>
                <w:color w:val="auto"/>
              </w:rPr>
              <w:t>(1,883,438)</w:t>
            </w: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(273,041)</w:t>
            </w:r>
          </w:p>
        </w:tc>
        <w:tc>
          <w:tcPr>
            <w:tcW w:w="0" w:type="dxa"/>
            <w:vAlign w:val="bottom"/>
          </w:tcPr>
          <w:p>
            <w:pPr>
              <w:spacing w:after="0"/>
              <w:rPr>
                <w:sz w:val="1"/>
                <w:szCs w:val="1"/>
                <w:color w:val="auto"/>
              </w:rPr>
            </w:pPr>
          </w:p>
        </w:tc>
      </w:tr>
      <w:tr>
        <w:trPr>
          <w:trHeight w:val="216"/>
        </w:trPr>
        <w:tc>
          <w:tcPr>
            <w:tcW w:w="66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Other income, net</w:t>
            </w:r>
          </w:p>
        </w:tc>
        <w:tc>
          <w:tcPr>
            <w:tcW w:w="116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544,040</w:t>
            </w:r>
          </w:p>
        </w:tc>
        <w:tc>
          <w:tcPr>
            <w:tcW w:w="114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839,694</w:t>
            </w:r>
          </w:p>
        </w:tc>
        <w:tc>
          <w:tcPr>
            <w:tcW w:w="1140" w:type="dxa"/>
            <w:vAlign w:val="bottom"/>
            <w:gridSpan w:val="2"/>
            <w:shd w:val="clear" w:color="auto" w:fill="CCEEFF"/>
          </w:tcPr>
          <w:p>
            <w:pPr>
              <w:jc w:val="right"/>
              <w:ind w:right="121"/>
              <w:spacing w:after="0"/>
              <w:rPr>
                <w:sz w:val="20"/>
                <w:szCs w:val="20"/>
                <w:color w:val="auto"/>
              </w:rPr>
            </w:pPr>
            <w:r>
              <w:rPr>
                <w:rFonts w:ascii="Times New Roman" w:cs="Times New Roman" w:eastAsia="Times New Roman" w:hAnsi="Times New Roman"/>
                <w:sz w:val="18"/>
                <w:szCs w:val="18"/>
                <w:b w:val="1"/>
                <w:bCs w:val="1"/>
                <w:color w:val="auto"/>
              </w:rPr>
              <w:t>182,249</w:t>
            </w:r>
          </w:p>
        </w:tc>
        <w:tc>
          <w:tcPr>
            <w:tcW w:w="960" w:type="dxa"/>
            <w:vAlign w:val="bottom"/>
            <w:gridSpan w:val="2"/>
            <w:shd w:val="clear" w:color="auto" w:fill="CCEEFF"/>
          </w:tcPr>
          <w:p>
            <w:pPr>
              <w:jc w:val="right"/>
              <w:ind w:right="41"/>
              <w:spacing w:after="0"/>
              <w:rPr>
                <w:sz w:val="20"/>
                <w:szCs w:val="20"/>
                <w:color w:val="auto"/>
              </w:rPr>
            </w:pPr>
            <w:r>
              <w:rPr>
                <w:rFonts w:ascii="Times New Roman" w:cs="Times New Roman" w:eastAsia="Times New Roman" w:hAnsi="Times New Roman"/>
                <w:sz w:val="18"/>
                <w:szCs w:val="18"/>
                <w:b w:val="1"/>
                <w:bCs w:val="1"/>
                <w:color w:val="auto"/>
              </w:rPr>
              <w:t>26,421</w:t>
            </w:r>
          </w:p>
        </w:tc>
        <w:tc>
          <w:tcPr>
            <w:tcW w:w="0" w:type="dxa"/>
            <w:vAlign w:val="bottom"/>
          </w:tcPr>
          <w:p>
            <w:pPr>
              <w:spacing w:after="0"/>
              <w:rPr>
                <w:sz w:val="1"/>
                <w:szCs w:val="1"/>
                <w:color w:val="auto"/>
              </w:rPr>
            </w:pPr>
          </w:p>
        </w:tc>
      </w:tr>
      <w:tr>
        <w:trPr>
          <w:trHeight w:val="216"/>
        </w:trPr>
        <w:tc>
          <w:tcPr>
            <w:tcW w:w="66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Fair value (loss) gain on derivative liability relating to the contingent consideration</w:t>
            </w:r>
          </w:p>
        </w:tc>
        <w:tc>
          <w:tcPr>
            <w:tcW w:w="116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(118,229)</w:t>
            </w:r>
          </w:p>
        </w:tc>
        <w:tc>
          <w:tcPr>
            <w:tcW w:w="114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40,744</w:t>
            </w:r>
          </w:p>
        </w:tc>
        <w:tc>
          <w:tcPr>
            <w:tcW w:w="1140" w:type="dxa"/>
            <w:vAlign w:val="bottom"/>
            <w:gridSpan w:val="2"/>
          </w:tcPr>
          <w:p>
            <w:pPr>
              <w:jc w:val="right"/>
              <w:ind w:right="121"/>
              <w:spacing w:after="0"/>
              <w:rPr>
                <w:sz w:val="20"/>
                <w:szCs w:val="20"/>
                <w:color w:val="auto"/>
              </w:rPr>
            </w:pPr>
            <w:r>
              <w:rPr>
                <w:rFonts w:ascii="Times New Roman" w:cs="Times New Roman" w:eastAsia="Times New Roman" w:hAnsi="Times New Roman"/>
                <w:sz w:val="18"/>
                <w:szCs w:val="18"/>
                <w:b w:val="1"/>
                <w:bCs w:val="1"/>
                <w:color w:val="auto"/>
              </w:rPr>
              <w:t>51,113</w:t>
            </w:r>
          </w:p>
        </w:tc>
        <w:tc>
          <w:tcPr>
            <w:tcW w:w="960" w:type="dxa"/>
            <w:vAlign w:val="bottom"/>
            <w:gridSpan w:val="2"/>
          </w:tcPr>
          <w:p>
            <w:pPr>
              <w:jc w:val="right"/>
              <w:ind w:right="41"/>
              <w:spacing w:after="0"/>
              <w:rPr>
                <w:sz w:val="20"/>
                <w:szCs w:val="20"/>
                <w:color w:val="auto"/>
              </w:rPr>
            </w:pPr>
            <w:r>
              <w:rPr>
                <w:rFonts w:ascii="Times New Roman" w:cs="Times New Roman" w:eastAsia="Times New Roman" w:hAnsi="Times New Roman"/>
                <w:sz w:val="18"/>
                <w:szCs w:val="18"/>
                <w:b w:val="1"/>
                <w:bCs w:val="1"/>
                <w:color w:val="auto"/>
              </w:rPr>
              <w:t>7,410</w:t>
            </w:r>
          </w:p>
        </w:tc>
        <w:tc>
          <w:tcPr>
            <w:tcW w:w="0" w:type="dxa"/>
            <w:vAlign w:val="bottom"/>
          </w:tcPr>
          <w:p>
            <w:pPr>
              <w:spacing w:after="0"/>
              <w:rPr>
                <w:sz w:val="1"/>
                <w:szCs w:val="1"/>
                <w:color w:val="auto"/>
              </w:rPr>
            </w:pPr>
          </w:p>
        </w:tc>
      </w:tr>
      <w:tr>
        <w:trPr>
          <w:trHeight w:val="27"/>
        </w:trPr>
        <w:tc>
          <w:tcPr>
            <w:tcW w:w="6620" w:type="dxa"/>
            <w:vAlign w:val="bottom"/>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6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operating expenses, net</w:t>
            </w:r>
          </w:p>
        </w:tc>
        <w:tc>
          <w:tcPr>
            <w:tcW w:w="116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(3,500,977)</w:t>
            </w:r>
          </w:p>
        </w:tc>
        <w:tc>
          <w:tcPr>
            <w:tcW w:w="114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(4,786,064)</w:t>
            </w:r>
          </w:p>
        </w:tc>
        <w:tc>
          <w:tcPr>
            <w:tcW w:w="1140" w:type="dxa"/>
            <w:vAlign w:val="bottom"/>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8"/>
                <w:szCs w:val="18"/>
                <w:b w:val="1"/>
                <w:bCs w:val="1"/>
                <w:color w:val="auto"/>
              </w:rPr>
              <w:t>(4,557,067)</w:t>
            </w:r>
          </w:p>
        </w:tc>
        <w:tc>
          <w:tcPr>
            <w:tcW w:w="9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(660,635)</w:t>
            </w:r>
          </w:p>
        </w:tc>
        <w:tc>
          <w:tcPr>
            <w:tcW w:w="0" w:type="dxa"/>
            <w:vAlign w:val="bottom"/>
          </w:tcPr>
          <w:p>
            <w:pPr>
              <w:spacing w:after="0"/>
              <w:rPr>
                <w:sz w:val="1"/>
                <w:szCs w:val="1"/>
                <w:color w:val="auto"/>
              </w:rPr>
            </w:pPr>
          </w:p>
        </w:tc>
      </w:tr>
      <w:tr>
        <w:trPr>
          <w:trHeight w:val="230"/>
        </w:trPr>
        <w:tc>
          <w:tcPr>
            <w:tcW w:w="66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Loss from operations</w:t>
            </w: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(1,041,447)</w:t>
            </w:r>
          </w:p>
        </w:tc>
        <w:tc>
          <w:tcPr>
            <w:tcW w:w="220" w:type="dxa"/>
            <w:vAlign w:val="bottom"/>
          </w:tcPr>
          <w:p>
            <w:pPr>
              <w:spacing w:after="0"/>
              <w:rPr>
                <w:sz w:val="20"/>
                <w:szCs w:val="20"/>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(44,258)</w:t>
            </w:r>
          </w:p>
        </w:tc>
        <w:tc>
          <w:tcPr>
            <w:tcW w:w="220" w:type="dxa"/>
            <w:vAlign w:val="bottom"/>
          </w:tcPr>
          <w:p>
            <w:pPr>
              <w:spacing w:after="0"/>
              <w:rPr>
                <w:sz w:val="20"/>
                <w:szCs w:val="20"/>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(1,874,474)</w:t>
            </w:r>
          </w:p>
        </w:tc>
        <w:tc>
          <w:tcPr>
            <w:tcW w:w="200" w:type="dxa"/>
            <w:vAlign w:val="bottom"/>
          </w:tcPr>
          <w:p>
            <w:pPr>
              <w:spacing w:after="0"/>
              <w:rPr>
                <w:sz w:val="20"/>
                <w:szCs w:val="20"/>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(271,740)</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6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Interest income</w:t>
            </w:r>
          </w:p>
        </w:tc>
        <w:tc>
          <w:tcPr>
            <w:tcW w:w="116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291,227</w:t>
            </w:r>
          </w:p>
        </w:tc>
        <w:tc>
          <w:tcPr>
            <w:tcW w:w="114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262,919</w:t>
            </w:r>
          </w:p>
        </w:tc>
        <w:tc>
          <w:tcPr>
            <w:tcW w:w="1140" w:type="dxa"/>
            <w:vAlign w:val="bottom"/>
            <w:gridSpan w:val="2"/>
            <w:shd w:val="clear" w:color="auto" w:fill="CCEEFF"/>
          </w:tcPr>
          <w:p>
            <w:pPr>
              <w:jc w:val="right"/>
              <w:ind w:right="121"/>
              <w:spacing w:after="0"/>
              <w:rPr>
                <w:sz w:val="20"/>
                <w:szCs w:val="20"/>
                <w:color w:val="auto"/>
              </w:rPr>
            </w:pPr>
            <w:r>
              <w:rPr>
                <w:rFonts w:ascii="Times New Roman" w:cs="Times New Roman" w:eastAsia="Times New Roman" w:hAnsi="Times New Roman"/>
                <w:sz w:val="18"/>
                <w:szCs w:val="18"/>
                <w:b w:val="1"/>
                <w:bCs w:val="1"/>
                <w:color w:val="auto"/>
              </w:rPr>
              <w:t>257,166</w:t>
            </w:r>
          </w:p>
        </w:tc>
        <w:tc>
          <w:tcPr>
            <w:tcW w:w="960" w:type="dxa"/>
            <w:vAlign w:val="bottom"/>
            <w:gridSpan w:val="2"/>
            <w:shd w:val="clear" w:color="auto" w:fill="CCEEFF"/>
          </w:tcPr>
          <w:p>
            <w:pPr>
              <w:jc w:val="right"/>
              <w:ind w:right="41"/>
              <w:spacing w:after="0"/>
              <w:rPr>
                <w:sz w:val="20"/>
                <w:szCs w:val="20"/>
                <w:color w:val="auto"/>
              </w:rPr>
            </w:pPr>
            <w:r>
              <w:rPr>
                <w:rFonts w:ascii="Times New Roman" w:cs="Times New Roman" w:eastAsia="Times New Roman" w:hAnsi="Times New Roman"/>
                <w:sz w:val="18"/>
                <w:szCs w:val="18"/>
                <w:b w:val="1"/>
                <w:bCs w:val="1"/>
                <w:color w:val="auto"/>
              </w:rPr>
              <w:t>37,281</w:t>
            </w:r>
          </w:p>
        </w:tc>
        <w:tc>
          <w:tcPr>
            <w:tcW w:w="0" w:type="dxa"/>
            <w:vAlign w:val="bottom"/>
          </w:tcPr>
          <w:p>
            <w:pPr>
              <w:spacing w:after="0"/>
              <w:rPr>
                <w:sz w:val="1"/>
                <w:szCs w:val="1"/>
                <w:color w:val="auto"/>
              </w:rPr>
            </w:pPr>
          </w:p>
        </w:tc>
      </w:tr>
      <w:tr>
        <w:trPr>
          <w:trHeight w:val="216"/>
        </w:trPr>
        <w:tc>
          <w:tcPr>
            <w:tcW w:w="6620" w:type="dxa"/>
            <w:vAlign w:val="bottom"/>
          </w:tcPr>
          <w:p>
            <w:pPr>
              <w:spacing w:after="0"/>
              <w:rPr>
                <w:sz w:val="20"/>
                <w:szCs w:val="20"/>
                <w:color w:val="auto"/>
              </w:rPr>
            </w:pPr>
            <w:r>
              <w:rPr>
                <w:rFonts w:ascii="Times New Roman" w:cs="Times New Roman" w:eastAsia="Times New Roman" w:hAnsi="Times New Roman"/>
                <w:sz w:val="18"/>
                <w:szCs w:val="18"/>
                <w:color w:val="auto"/>
              </w:rPr>
              <w:t>Interest expense</w:t>
            </w:r>
          </w:p>
        </w:tc>
        <w:tc>
          <w:tcPr>
            <w:tcW w:w="116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(128,935)</w:t>
            </w:r>
          </w:p>
        </w:tc>
        <w:tc>
          <w:tcPr>
            <w:tcW w:w="114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(76,485)</w:t>
            </w:r>
          </w:p>
        </w:tc>
        <w:tc>
          <w:tcPr>
            <w:tcW w:w="114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b w:val="1"/>
                <w:bCs w:val="1"/>
                <w:color w:val="auto"/>
              </w:rPr>
              <w:t>(164,994)</w:t>
            </w: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(23,919)</w:t>
            </w:r>
          </w:p>
        </w:tc>
        <w:tc>
          <w:tcPr>
            <w:tcW w:w="0" w:type="dxa"/>
            <w:vAlign w:val="bottom"/>
          </w:tcPr>
          <w:p>
            <w:pPr>
              <w:spacing w:after="0"/>
              <w:rPr>
                <w:sz w:val="1"/>
                <w:szCs w:val="1"/>
                <w:color w:val="auto"/>
              </w:rPr>
            </w:pPr>
          </w:p>
        </w:tc>
      </w:tr>
      <w:tr>
        <w:trPr>
          <w:trHeight w:val="198"/>
        </w:trPr>
        <w:tc>
          <w:tcPr>
            <w:tcW w:w="662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Fair value loss on derivative assets or</w:t>
            </w:r>
          </w:p>
        </w:tc>
        <w:tc>
          <w:tcPr>
            <w:tcW w:w="9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48"/>
        </w:trPr>
        <w:tc>
          <w:tcPr>
            <w:tcW w:w="66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derivative liabilities</w:t>
            </w:r>
          </w:p>
        </w:tc>
        <w:tc>
          <w:tcPr>
            <w:tcW w:w="1160" w:type="dxa"/>
            <w:vAlign w:val="bottom"/>
            <w:gridSpan w:val="2"/>
            <w:shd w:val="clear" w:color="auto" w:fill="CCEEFF"/>
          </w:tcPr>
          <w:p>
            <w:pPr>
              <w:jc w:val="right"/>
              <w:ind w:right="181"/>
              <w:spacing w:after="0"/>
              <w:rPr>
                <w:sz w:val="20"/>
                <w:szCs w:val="20"/>
                <w:color w:val="auto"/>
              </w:rPr>
            </w:pPr>
            <w:r>
              <w:rPr>
                <w:rFonts w:ascii="Times New Roman" w:cs="Times New Roman" w:eastAsia="Times New Roman" w:hAnsi="Times New Roman"/>
                <w:sz w:val="18"/>
                <w:szCs w:val="18"/>
                <w:color w:val="auto"/>
              </w:rPr>
              <w:t>— </w:t>
            </w:r>
          </w:p>
        </w:tc>
        <w:tc>
          <w:tcPr>
            <w:tcW w:w="1140" w:type="dxa"/>
            <w:vAlign w:val="bottom"/>
            <w:gridSpan w:val="2"/>
            <w:shd w:val="clear" w:color="auto" w:fill="CCEEFF"/>
          </w:tcPr>
          <w:p>
            <w:pPr>
              <w:jc w:val="right"/>
              <w:ind w:right="181"/>
              <w:spacing w:after="0"/>
              <w:rPr>
                <w:sz w:val="20"/>
                <w:szCs w:val="20"/>
                <w:color w:val="auto"/>
              </w:rPr>
            </w:pPr>
            <w:r>
              <w:rPr>
                <w:rFonts w:ascii="Times New Roman" w:cs="Times New Roman" w:eastAsia="Times New Roman" w:hAnsi="Times New Roman"/>
                <w:sz w:val="18"/>
                <w:szCs w:val="18"/>
                <w:color w:val="auto"/>
              </w:rPr>
              <w:t>— </w:t>
            </w:r>
          </w:p>
        </w:tc>
        <w:tc>
          <w:tcPr>
            <w:tcW w:w="1140" w:type="dxa"/>
            <w:vAlign w:val="bottom"/>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8"/>
                <w:szCs w:val="18"/>
                <w:b w:val="1"/>
                <w:bCs w:val="1"/>
                <w:color w:val="auto"/>
              </w:rPr>
              <w:t>(101)</w:t>
            </w:r>
          </w:p>
        </w:tc>
        <w:tc>
          <w:tcPr>
            <w:tcW w:w="9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(15)</w:t>
            </w:r>
          </w:p>
        </w:tc>
        <w:tc>
          <w:tcPr>
            <w:tcW w:w="0" w:type="dxa"/>
            <w:vAlign w:val="bottom"/>
          </w:tcPr>
          <w:p>
            <w:pPr>
              <w:spacing w:after="0"/>
              <w:rPr>
                <w:sz w:val="1"/>
                <w:szCs w:val="1"/>
                <w:color w:val="auto"/>
              </w:rPr>
            </w:pPr>
          </w:p>
        </w:tc>
      </w:tr>
      <w:tr>
        <w:trPr>
          <w:trHeight w:val="216"/>
        </w:trPr>
        <w:tc>
          <w:tcPr>
            <w:tcW w:w="6620" w:type="dxa"/>
            <w:vAlign w:val="bottom"/>
          </w:tcPr>
          <w:p>
            <w:pPr>
              <w:spacing w:after="0"/>
              <w:rPr>
                <w:sz w:val="20"/>
                <w:szCs w:val="20"/>
                <w:color w:val="auto"/>
              </w:rPr>
            </w:pPr>
            <w:r>
              <w:rPr>
                <w:rFonts w:ascii="Times New Roman" w:cs="Times New Roman" w:eastAsia="Times New Roman" w:hAnsi="Times New Roman"/>
                <w:sz w:val="18"/>
                <w:szCs w:val="18"/>
                <w:color w:val="auto"/>
              </w:rPr>
              <w:t>Investment gain on long-term investments</w:t>
            </w:r>
          </w:p>
        </w:tc>
        <w:tc>
          <w:tcPr>
            <w:tcW w:w="116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79,653</w:t>
            </w:r>
          </w:p>
        </w:tc>
        <w:tc>
          <w:tcPr>
            <w:tcW w:w="114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265,364</w:t>
            </w:r>
          </w:p>
        </w:tc>
        <w:tc>
          <w:tcPr>
            <w:tcW w:w="1140" w:type="dxa"/>
            <w:vAlign w:val="bottom"/>
            <w:gridSpan w:val="2"/>
          </w:tcPr>
          <w:p>
            <w:pPr>
              <w:jc w:val="right"/>
              <w:ind w:right="121"/>
              <w:spacing w:after="0"/>
              <w:rPr>
                <w:sz w:val="20"/>
                <w:szCs w:val="20"/>
                <w:color w:val="auto"/>
              </w:rPr>
            </w:pPr>
            <w:r>
              <w:rPr>
                <w:rFonts w:ascii="Times New Roman" w:cs="Times New Roman" w:eastAsia="Times New Roman" w:hAnsi="Times New Roman"/>
                <w:sz w:val="18"/>
                <w:szCs w:val="18"/>
                <w:b w:val="1"/>
                <w:bCs w:val="1"/>
                <w:color w:val="auto"/>
              </w:rPr>
              <w:t>169,117</w:t>
            </w:r>
          </w:p>
        </w:tc>
        <w:tc>
          <w:tcPr>
            <w:tcW w:w="960" w:type="dxa"/>
            <w:vAlign w:val="bottom"/>
            <w:gridSpan w:val="2"/>
          </w:tcPr>
          <w:p>
            <w:pPr>
              <w:jc w:val="right"/>
              <w:ind w:right="41"/>
              <w:spacing w:after="0"/>
              <w:rPr>
                <w:sz w:val="20"/>
                <w:szCs w:val="20"/>
                <w:color w:val="auto"/>
              </w:rPr>
            </w:pPr>
            <w:r>
              <w:rPr>
                <w:rFonts w:ascii="Times New Roman" w:cs="Times New Roman" w:eastAsia="Times New Roman" w:hAnsi="Times New Roman"/>
                <w:sz w:val="18"/>
                <w:szCs w:val="18"/>
                <w:b w:val="1"/>
                <w:bCs w:val="1"/>
                <w:color w:val="auto"/>
              </w:rPr>
              <w:t>24,517</w:t>
            </w:r>
          </w:p>
        </w:tc>
        <w:tc>
          <w:tcPr>
            <w:tcW w:w="0" w:type="dxa"/>
            <w:vAlign w:val="bottom"/>
          </w:tcPr>
          <w:p>
            <w:pPr>
              <w:spacing w:after="0"/>
              <w:rPr>
                <w:sz w:val="1"/>
                <w:szCs w:val="1"/>
                <w:color w:val="auto"/>
              </w:rPr>
            </w:pPr>
          </w:p>
        </w:tc>
      </w:tr>
      <w:tr>
        <w:trPr>
          <w:trHeight w:val="216"/>
        </w:trPr>
        <w:tc>
          <w:tcPr>
            <w:tcW w:w="6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Exchange gain (loss) from foreign currency transactions</w:t>
            </w:r>
          </w:p>
        </w:tc>
        <w:tc>
          <w:tcPr>
            <w:tcW w:w="116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130,448</w:t>
            </w:r>
          </w:p>
        </w:tc>
        <w:tc>
          <w:tcPr>
            <w:tcW w:w="114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(12,994)</w:t>
            </w:r>
          </w:p>
        </w:tc>
        <w:tc>
          <w:tcPr>
            <w:tcW w:w="1140" w:type="dxa"/>
            <w:vAlign w:val="bottom"/>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8"/>
                <w:szCs w:val="18"/>
                <w:b w:val="1"/>
                <w:bCs w:val="1"/>
                <w:color w:val="auto"/>
              </w:rPr>
              <w:t>(148,728)</w:t>
            </w:r>
          </w:p>
        </w:tc>
        <w:tc>
          <w:tcPr>
            <w:tcW w:w="9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(21,561)</w:t>
            </w:r>
          </w:p>
        </w:tc>
        <w:tc>
          <w:tcPr>
            <w:tcW w:w="0" w:type="dxa"/>
            <w:vAlign w:val="bottom"/>
          </w:tcPr>
          <w:p>
            <w:pPr>
              <w:spacing w:after="0"/>
              <w:rPr>
                <w:sz w:val="1"/>
                <w:szCs w:val="1"/>
                <w:color w:val="auto"/>
              </w:rPr>
            </w:pPr>
          </w:p>
        </w:tc>
      </w:tr>
      <w:tr>
        <w:trPr>
          <w:trHeight w:val="223"/>
        </w:trPr>
        <w:tc>
          <w:tcPr>
            <w:tcW w:w="6620" w:type="dxa"/>
            <w:vAlign w:val="bottom"/>
          </w:tcPr>
          <w:p>
            <w:pPr>
              <w:spacing w:after="0"/>
              <w:rPr>
                <w:sz w:val="20"/>
                <w:szCs w:val="20"/>
                <w:color w:val="auto"/>
              </w:rPr>
            </w:pPr>
            <w:r>
              <w:rPr>
                <w:rFonts w:ascii="Times New Roman" w:cs="Times New Roman" w:eastAsia="Times New Roman" w:hAnsi="Times New Roman"/>
                <w:sz w:val="18"/>
                <w:szCs w:val="18"/>
                <w:color w:val="auto"/>
              </w:rPr>
              <w:t>Other non-operating income (expenses), net</w:t>
            </w:r>
          </w:p>
        </w:tc>
        <w:tc>
          <w:tcPr>
            <w:tcW w:w="116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20,275</w:t>
            </w:r>
          </w:p>
        </w:tc>
        <w:tc>
          <w:tcPr>
            <w:tcW w:w="114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22,173</w:t>
            </w:r>
          </w:p>
        </w:tc>
        <w:tc>
          <w:tcPr>
            <w:tcW w:w="114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b w:val="1"/>
                <w:bCs w:val="1"/>
                <w:color w:val="auto"/>
              </w:rPr>
              <w:t>(959)</w:t>
            </w: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(139)</w:t>
            </w:r>
          </w:p>
        </w:tc>
        <w:tc>
          <w:tcPr>
            <w:tcW w:w="0" w:type="dxa"/>
            <w:vAlign w:val="bottom"/>
          </w:tcPr>
          <w:p>
            <w:pPr>
              <w:spacing w:after="0"/>
              <w:rPr>
                <w:sz w:val="1"/>
                <w:szCs w:val="1"/>
                <w:color w:val="auto"/>
              </w:rPr>
            </w:pPr>
          </w:p>
        </w:tc>
      </w:tr>
      <w:tr>
        <w:trPr>
          <w:trHeight w:val="194"/>
        </w:trPr>
        <w:tc>
          <w:tcPr>
            <w:tcW w:w="6620" w:type="dxa"/>
            <w:vAlign w:val="bottom"/>
            <w:shd w:val="clear" w:color="auto" w:fill="CCEEFF"/>
          </w:tcPr>
          <w:p>
            <w:pPr>
              <w:spacing w:after="0" w:line="194" w:lineRule="exact"/>
              <w:rPr>
                <w:sz w:val="20"/>
                <w:szCs w:val="20"/>
                <w:color w:val="auto"/>
              </w:rPr>
            </w:pPr>
            <w:r>
              <w:rPr>
                <w:rFonts w:ascii="Times New Roman" w:cs="Times New Roman" w:eastAsia="Times New Roman" w:hAnsi="Times New Roman"/>
                <w:sz w:val="18"/>
                <w:szCs w:val="18"/>
                <w:b w:val="1"/>
                <w:bCs w:val="1"/>
                <w:color w:val="auto"/>
              </w:rPr>
              <w:t>(Loss) profit before income tax expenses and share of results of equity method</w:t>
            </w:r>
          </w:p>
        </w:tc>
        <w:tc>
          <w:tcPr>
            <w:tcW w:w="940" w:type="dxa"/>
            <w:vAlign w:val="bottom"/>
            <w:tcBorders>
              <w:top w:val="single" w:sz="8" w:color="auto"/>
            </w:tcBorders>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920" w:type="dxa"/>
            <w:vAlign w:val="bottom"/>
            <w:tcBorders>
              <w:top w:val="single" w:sz="8" w:color="auto"/>
            </w:tcBorders>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940" w:type="dxa"/>
            <w:vAlign w:val="bottom"/>
            <w:tcBorders>
              <w:top w:val="single" w:sz="8" w:color="auto"/>
            </w:tcBorders>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840" w:type="dxa"/>
            <w:vAlign w:val="bottom"/>
            <w:tcBorders>
              <w:top w:val="single" w:sz="8" w:color="auto"/>
            </w:tcBorders>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8"/>
        </w:trPr>
        <w:tc>
          <w:tcPr>
            <w:tcW w:w="66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b w:val="1"/>
                <w:bCs w:val="1"/>
                <w:color w:val="auto"/>
              </w:rPr>
              <w:t>investees</w:t>
            </w:r>
          </w:p>
        </w:tc>
        <w:tc>
          <w:tcPr>
            <w:tcW w:w="116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(648,779)</w:t>
            </w:r>
          </w:p>
        </w:tc>
        <w:tc>
          <w:tcPr>
            <w:tcW w:w="114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416,719</w:t>
            </w:r>
          </w:p>
        </w:tc>
        <w:tc>
          <w:tcPr>
            <w:tcW w:w="1140" w:type="dxa"/>
            <w:vAlign w:val="bottom"/>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8"/>
                <w:szCs w:val="18"/>
                <w:b w:val="1"/>
                <w:bCs w:val="1"/>
                <w:color w:val="auto"/>
              </w:rPr>
              <w:t>(1,762,973)</w:t>
            </w:r>
          </w:p>
        </w:tc>
        <w:tc>
          <w:tcPr>
            <w:tcW w:w="9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(255,576)</w:t>
            </w:r>
          </w:p>
        </w:tc>
        <w:tc>
          <w:tcPr>
            <w:tcW w:w="0" w:type="dxa"/>
            <w:vAlign w:val="bottom"/>
          </w:tcPr>
          <w:p>
            <w:pPr>
              <w:spacing w:after="0"/>
              <w:rPr>
                <w:sz w:val="1"/>
                <w:szCs w:val="1"/>
                <w:color w:val="auto"/>
              </w:rPr>
            </w:pPr>
          </w:p>
        </w:tc>
      </w:tr>
      <w:tr>
        <w:trPr>
          <w:trHeight w:val="223"/>
        </w:trPr>
        <w:tc>
          <w:tcPr>
            <w:tcW w:w="6620" w:type="dxa"/>
            <w:vAlign w:val="bottom"/>
          </w:tcPr>
          <w:p>
            <w:pPr>
              <w:spacing w:after="0"/>
              <w:rPr>
                <w:sz w:val="20"/>
                <w:szCs w:val="20"/>
                <w:color w:val="auto"/>
              </w:rPr>
            </w:pPr>
            <w:r>
              <w:rPr>
                <w:rFonts w:ascii="Times New Roman" w:cs="Times New Roman" w:eastAsia="Times New Roman" w:hAnsi="Times New Roman"/>
                <w:sz w:val="18"/>
                <w:szCs w:val="18"/>
                <w:color w:val="auto"/>
              </w:rPr>
              <w:t>Income tax expenses</w:t>
            </w:r>
          </w:p>
        </w:tc>
        <w:tc>
          <w:tcPr>
            <w:tcW w:w="9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(7,991)</w:t>
            </w:r>
          </w:p>
        </w:tc>
        <w:tc>
          <w:tcPr>
            <w:tcW w:w="220" w:type="dxa"/>
            <w:vAlign w:val="bottom"/>
          </w:tcPr>
          <w:p>
            <w:pPr>
              <w:spacing w:after="0"/>
              <w:rPr>
                <w:sz w:val="19"/>
                <w:szCs w:val="19"/>
                <w:color w:val="auto"/>
              </w:rPr>
            </w:pPr>
          </w:p>
        </w:tc>
        <w:tc>
          <w:tcPr>
            <w:tcW w:w="9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(22,128)</w:t>
            </w:r>
          </w:p>
        </w:tc>
        <w:tc>
          <w:tcPr>
            <w:tcW w:w="220" w:type="dxa"/>
            <w:vAlign w:val="bottom"/>
          </w:tcPr>
          <w:p>
            <w:pPr>
              <w:spacing w:after="0"/>
              <w:rPr>
                <w:sz w:val="19"/>
                <w:szCs w:val="19"/>
                <w:color w:val="auto"/>
              </w:rPr>
            </w:pPr>
          </w:p>
        </w:tc>
        <w:tc>
          <w:tcPr>
            <w:tcW w:w="9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(9,251)</w:t>
            </w:r>
          </w:p>
        </w:tc>
        <w:tc>
          <w:tcPr>
            <w:tcW w:w="200" w:type="dxa"/>
            <w:vAlign w:val="bottom"/>
          </w:tcPr>
          <w:p>
            <w:pPr>
              <w:spacing w:after="0"/>
              <w:rPr>
                <w:sz w:val="19"/>
                <w:szCs w:val="19"/>
                <w:color w:val="auto"/>
              </w:rPr>
            </w:pPr>
          </w:p>
        </w:tc>
        <w:tc>
          <w:tcPr>
            <w:tcW w:w="8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(1,341)</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6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Share of results of equity method investees</w:t>
            </w:r>
          </w:p>
        </w:tc>
        <w:tc>
          <w:tcPr>
            <w:tcW w:w="116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(7,276)</w:t>
            </w:r>
          </w:p>
        </w:tc>
        <w:tc>
          <w:tcPr>
            <w:tcW w:w="114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(11,383)</w:t>
            </w:r>
          </w:p>
        </w:tc>
        <w:tc>
          <w:tcPr>
            <w:tcW w:w="1140" w:type="dxa"/>
            <w:vAlign w:val="bottom"/>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8"/>
                <w:szCs w:val="18"/>
                <w:b w:val="1"/>
                <w:bCs w:val="1"/>
                <w:color w:val="auto"/>
              </w:rPr>
              <w:t>(11,876)</w:t>
            </w:r>
          </w:p>
        </w:tc>
        <w:tc>
          <w:tcPr>
            <w:tcW w:w="9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(1,722)</w:t>
            </w:r>
          </w:p>
        </w:tc>
        <w:tc>
          <w:tcPr>
            <w:tcW w:w="0" w:type="dxa"/>
            <w:vAlign w:val="bottom"/>
          </w:tcPr>
          <w:p>
            <w:pPr>
              <w:spacing w:after="0"/>
              <w:rPr>
                <w:sz w:val="1"/>
                <w:szCs w:val="1"/>
                <w:color w:val="auto"/>
              </w:rPr>
            </w:pPr>
          </w:p>
        </w:tc>
      </w:tr>
      <w:tr>
        <w:trPr>
          <w:trHeight w:val="230"/>
        </w:trPr>
        <w:tc>
          <w:tcPr>
            <w:tcW w:w="66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Net (loss) profit</w:t>
            </w: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(664,046)</w:t>
            </w:r>
          </w:p>
        </w:tc>
        <w:tc>
          <w:tcPr>
            <w:tcW w:w="220" w:type="dxa"/>
            <w:vAlign w:val="bottom"/>
          </w:tcPr>
          <w:p>
            <w:pPr>
              <w:spacing w:after="0"/>
              <w:rPr>
                <w:sz w:val="20"/>
                <w:szCs w:val="20"/>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383,208</w:t>
            </w:r>
          </w:p>
        </w:tc>
        <w:tc>
          <w:tcPr>
            <w:tcW w:w="220" w:type="dxa"/>
            <w:vAlign w:val="bottom"/>
          </w:tcPr>
          <w:p>
            <w:pPr>
              <w:spacing w:after="0"/>
              <w:rPr>
                <w:sz w:val="20"/>
                <w:szCs w:val="20"/>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(1,784,100)</w:t>
            </w:r>
          </w:p>
        </w:tc>
        <w:tc>
          <w:tcPr>
            <w:tcW w:w="200" w:type="dxa"/>
            <w:vAlign w:val="bottom"/>
          </w:tcPr>
          <w:p>
            <w:pPr>
              <w:spacing w:after="0"/>
              <w:rPr>
                <w:sz w:val="20"/>
                <w:szCs w:val="20"/>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(258,639)</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6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Net (loss) profit attributable to ordinary shareholders of XPeng Inc.</w:t>
            </w:r>
          </w:p>
        </w:tc>
        <w:tc>
          <w:tcPr>
            <w:tcW w:w="116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(664,046)</w:t>
            </w:r>
          </w:p>
        </w:tc>
        <w:tc>
          <w:tcPr>
            <w:tcW w:w="114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383,208</w:t>
            </w:r>
          </w:p>
        </w:tc>
        <w:tc>
          <w:tcPr>
            <w:tcW w:w="1140" w:type="dxa"/>
            <w:vAlign w:val="bottom"/>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8"/>
                <w:szCs w:val="18"/>
                <w:b w:val="1"/>
                <w:bCs w:val="1"/>
                <w:color w:val="auto"/>
              </w:rPr>
              <w:t>(1,784,100)</w:t>
            </w:r>
          </w:p>
        </w:tc>
        <w:tc>
          <w:tcPr>
            <w:tcW w:w="9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(258,639)</w:t>
            </w:r>
          </w:p>
        </w:tc>
        <w:tc>
          <w:tcPr>
            <w:tcW w:w="0" w:type="dxa"/>
            <w:vAlign w:val="bottom"/>
          </w:tcPr>
          <w:p>
            <w:pPr>
              <w:spacing w:after="0"/>
              <w:rPr>
                <w:sz w:val="1"/>
                <w:szCs w:val="1"/>
                <w:color w:val="auto"/>
              </w:rPr>
            </w:pPr>
          </w:p>
        </w:tc>
      </w:tr>
      <w:tr>
        <w:trPr>
          <w:trHeight w:val="20"/>
        </w:trPr>
        <w:tc>
          <w:tcPr>
            <w:tcW w:w="6620" w:type="dxa"/>
            <w:vAlign w:val="bottom"/>
            <w:vMerge w:val="restart"/>
          </w:tcPr>
          <w:p>
            <w:pPr>
              <w:ind w:left="5420"/>
              <w:spacing w:after="0"/>
              <w:rPr>
                <w:sz w:val="20"/>
                <w:szCs w:val="20"/>
                <w:color w:val="auto"/>
              </w:rPr>
            </w:pPr>
            <w:r>
              <w:rPr>
                <w:rFonts w:ascii="Times New Roman" w:cs="Times New Roman" w:eastAsia="Times New Roman" w:hAnsi="Times New Roman"/>
                <w:sz w:val="18"/>
                <w:szCs w:val="18"/>
                <w:color w:val="auto"/>
              </w:rPr>
              <w:t>11</w:t>
            </w:r>
          </w:p>
        </w:tc>
        <w:tc>
          <w:tcPr>
            <w:tcW w:w="9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6620" w:type="dxa"/>
            <w:vAlign w:val="bottom"/>
            <w:vMerge w:val="continue"/>
          </w:tcPr>
          <w:p>
            <w:pPr>
              <w:spacing w:after="0"/>
              <w:rPr>
                <w:sz w:val="24"/>
                <w:szCs w:val="24"/>
                <w:color w:val="auto"/>
              </w:rPr>
            </w:pPr>
          </w:p>
        </w:tc>
        <w:tc>
          <w:tcPr>
            <w:tcW w:w="9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020"/>
          </w:cols>
          <w:pgMar w:left="440" w:top="738" w:right="439" w:bottom="1440" w:gutter="0" w:footer="0" w:header="0"/>
        </w:sectPr>
      </w:pPr>
    </w:p>
    <w:bookmarkStart w:id="14" w:name="page15"/>
    <w:bookmarkEnd w:id="14"/>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74865" cy="3873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183515</wp:posOffset>
            </wp:positionV>
            <wp:extent cx="1251585" cy="14605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clrChange>
                        <a:clrFrom>
                          <a:srgbClr val="FFFFFF"/>
                        </a:clrFrom>
                        <a:clrTo>
                          <a:srgbClr val="FFFFFF">
                            <a:alpha val="0"/>
                          </a:srgbClr>
                        </a:clrTo>
                      </a:clrChange>
                      <a:extLst>
                        <a:ext uri="{28A0092B-C50C-407E-A947-70E740481C1C}"/>
                      </a:extLst>
                    </a:blip>
                    <a:srcRect/>
                    <a:stretch>
                      <a:fillRect/>
                    </a:stretch>
                  </pic:blipFill>
                  <pic:spPr bwMode="auto">
                    <a:xfrm>
                      <a:off x="0" y="0"/>
                      <a:ext cx="1251585" cy="146050"/>
                    </a:xfrm>
                    <a:prstGeom prst="rect">
                      <a:avLst/>
                    </a:prstGeom>
                    <a:noFill/>
                  </pic:spPr>
                </pic:pic>
              </a:graphicData>
            </a:graphic>
          </wp:anchor>
        </w:drawing>
        <w:t>XPENG INC.</w:t>
      </w:r>
    </w:p>
    <w:p>
      <w:pPr>
        <w:spacing w:after="0" w:line="3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UNAUDITED CONDENSED CONSOLIDATED STATEMENTS OF COMPREHENSIVE PROFIT/(LOSS) (CONTINUED)</w:t>
      </w:r>
    </w:p>
    <w:p>
      <w:pPr>
        <w:spacing w:after="0" w:line="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(All amounts in thousands, except for ADS/ordinary share and per ADS/ordinary share data)</w:t>
      </w:r>
    </w:p>
    <w:p>
      <w:pPr>
        <w:spacing w:after="0" w:line="21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820" w:type="dxa"/>
            <w:vAlign w:val="bottom"/>
          </w:tcPr>
          <w:p>
            <w:pPr>
              <w:spacing w:after="0"/>
              <w:rPr>
                <w:sz w:val="13"/>
                <w:szCs w:val="13"/>
                <w:color w:val="auto"/>
              </w:rPr>
            </w:pPr>
          </w:p>
        </w:tc>
        <w:tc>
          <w:tcPr>
            <w:tcW w:w="1320" w:type="dxa"/>
            <w:vAlign w:val="bottom"/>
            <w:gridSpan w:val="2"/>
            <w:vMerge w:val="restart"/>
          </w:tcPr>
          <w:p>
            <w:pPr>
              <w:jc w:val="right"/>
              <w:ind w:right="460"/>
              <w:spacing w:after="0"/>
              <w:rPr>
                <w:sz w:val="20"/>
                <w:szCs w:val="20"/>
                <w:color w:val="auto"/>
              </w:rPr>
            </w:pPr>
            <w:r>
              <w:rPr>
                <w:rFonts w:ascii="Times New Roman" w:cs="Times New Roman" w:eastAsia="Times New Roman" w:hAnsi="Times New Roman"/>
                <w:sz w:val="14"/>
                <w:szCs w:val="14"/>
                <w:color w:val="auto"/>
              </w:rPr>
              <w:t>March 31,</w:t>
            </w:r>
          </w:p>
        </w:tc>
        <w:tc>
          <w:tcPr>
            <w:tcW w:w="2640" w:type="dxa"/>
            <w:vAlign w:val="bottom"/>
            <w:gridSpan w:val="4"/>
          </w:tcPr>
          <w:p>
            <w:pPr>
              <w:jc w:val="right"/>
              <w:ind w:right="76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240" w:type="dxa"/>
            <w:vAlign w:val="bottom"/>
            <w:gridSpan w:val="2"/>
            <w:vMerge w:val="restart"/>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0" w:type="dxa"/>
            <w:vAlign w:val="bottom"/>
          </w:tcPr>
          <w:p>
            <w:pPr>
              <w:spacing w:after="0"/>
              <w:rPr>
                <w:sz w:val="1"/>
                <w:szCs w:val="1"/>
                <w:color w:val="auto"/>
              </w:rPr>
            </w:pPr>
          </w:p>
        </w:tc>
      </w:tr>
      <w:tr>
        <w:trPr>
          <w:trHeight w:val="148"/>
        </w:trPr>
        <w:tc>
          <w:tcPr>
            <w:tcW w:w="5820" w:type="dxa"/>
            <w:vAlign w:val="bottom"/>
          </w:tcPr>
          <w:p>
            <w:pPr>
              <w:spacing w:after="0"/>
              <w:rPr>
                <w:sz w:val="12"/>
                <w:szCs w:val="12"/>
                <w:color w:val="auto"/>
              </w:rPr>
            </w:pPr>
          </w:p>
        </w:tc>
        <w:tc>
          <w:tcPr>
            <w:tcW w:w="1320" w:type="dxa"/>
            <w:vAlign w:val="bottom"/>
            <w:gridSpan w:val="2"/>
            <w:vMerge w:val="continue"/>
          </w:tcPr>
          <w:p>
            <w:pPr>
              <w:spacing w:after="0"/>
              <w:rPr>
                <w:sz w:val="12"/>
                <w:szCs w:val="12"/>
                <w:color w:val="auto"/>
              </w:rPr>
            </w:pPr>
          </w:p>
        </w:tc>
        <w:tc>
          <w:tcPr>
            <w:tcW w:w="1320" w:type="dxa"/>
            <w:vAlign w:val="bottom"/>
            <w:gridSpan w:val="2"/>
          </w:tcPr>
          <w:p>
            <w:pPr>
              <w:jc w:val="right"/>
              <w:ind w:right="360"/>
              <w:spacing w:after="0" w:line="149" w:lineRule="exact"/>
              <w:rPr>
                <w:sz w:val="20"/>
                <w:szCs w:val="20"/>
                <w:color w:val="auto"/>
              </w:rPr>
            </w:pPr>
            <w:r>
              <w:rPr>
                <w:rFonts w:ascii="Times New Roman" w:cs="Times New Roman" w:eastAsia="Times New Roman" w:hAnsi="Times New Roman"/>
                <w:sz w:val="14"/>
                <w:szCs w:val="14"/>
                <w:color w:val="auto"/>
              </w:rPr>
              <w:t>December 31,</w:t>
            </w:r>
          </w:p>
        </w:tc>
        <w:tc>
          <w:tcPr>
            <w:tcW w:w="1320" w:type="dxa"/>
            <w:vAlign w:val="bottom"/>
            <w:gridSpan w:val="2"/>
          </w:tcPr>
          <w:p>
            <w:pPr>
              <w:jc w:val="center"/>
              <w:ind w:right="220"/>
              <w:spacing w:after="0" w:line="149" w:lineRule="exact"/>
              <w:rPr>
                <w:sz w:val="20"/>
                <w:szCs w:val="20"/>
                <w:color w:val="auto"/>
              </w:rPr>
            </w:pPr>
            <w:r>
              <w:rPr>
                <w:rFonts w:ascii="Times New Roman" w:cs="Times New Roman" w:eastAsia="Times New Roman" w:hAnsi="Times New Roman"/>
                <w:sz w:val="14"/>
                <w:szCs w:val="14"/>
                <w:b w:val="1"/>
                <w:bCs w:val="1"/>
                <w:color w:val="auto"/>
              </w:rPr>
              <w:t>March 31,</w:t>
            </w:r>
          </w:p>
        </w:tc>
        <w:tc>
          <w:tcPr>
            <w:tcW w:w="124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5820" w:type="dxa"/>
            <w:vAlign w:val="bottom"/>
          </w:tcPr>
          <w:p>
            <w:pPr>
              <w:spacing w:after="0"/>
              <w:rPr>
                <w:sz w:val="12"/>
                <w:szCs w:val="12"/>
                <w:color w:val="auto"/>
              </w:rPr>
            </w:pPr>
          </w:p>
        </w:tc>
        <w:tc>
          <w:tcPr>
            <w:tcW w:w="1100" w:type="dxa"/>
            <w:vAlign w:val="bottom"/>
          </w:tcPr>
          <w:p>
            <w:pPr>
              <w:jc w:val="right"/>
              <w:ind w:right="314"/>
              <w:spacing w:after="0" w:line="147" w:lineRule="exact"/>
              <w:rPr>
                <w:sz w:val="20"/>
                <w:szCs w:val="20"/>
                <w:color w:val="auto"/>
              </w:rPr>
            </w:pPr>
            <w:r>
              <w:rPr>
                <w:rFonts w:ascii="Times New Roman" w:cs="Times New Roman" w:eastAsia="Times New Roman" w:hAnsi="Times New Roman"/>
                <w:sz w:val="14"/>
                <w:szCs w:val="14"/>
                <w:color w:val="auto"/>
              </w:rPr>
              <w:t>2025</w:t>
            </w:r>
          </w:p>
        </w:tc>
        <w:tc>
          <w:tcPr>
            <w:tcW w:w="220" w:type="dxa"/>
            <w:vAlign w:val="bottom"/>
          </w:tcPr>
          <w:p>
            <w:pPr>
              <w:spacing w:after="0"/>
              <w:rPr>
                <w:sz w:val="12"/>
                <w:szCs w:val="12"/>
                <w:color w:val="auto"/>
              </w:rPr>
            </w:pPr>
          </w:p>
        </w:tc>
        <w:tc>
          <w:tcPr>
            <w:tcW w:w="1100" w:type="dxa"/>
            <w:vAlign w:val="bottom"/>
          </w:tcPr>
          <w:p>
            <w:pPr>
              <w:jc w:val="right"/>
              <w:ind w:right="315"/>
              <w:spacing w:after="0" w:line="147" w:lineRule="exact"/>
              <w:rPr>
                <w:sz w:val="20"/>
                <w:szCs w:val="20"/>
                <w:color w:val="auto"/>
              </w:rPr>
            </w:pPr>
            <w:r>
              <w:rPr>
                <w:rFonts w:ascii="Times New Roman" w:cs="Times New Roman" w:eastAsia="Times New Roman" w:hAnsi="Times New Roman"/>
                <w:sz w:val="14"/>
                <w:szCs w:val="14"/>
                <w:color w:val="auto"/>
              </w:rPr>
              <w:t>2025</w:t>
            </w:r>
          </w:p>
        </w:tc>
        <w:tc>
          <w:tcPr>
            <w:tcW w:w="220" w:type="dxa"/>
            <w:vAlign w:val="bottom"/>
          </w:tcPr>
          <w:p>
            <w:pPr>
              <w:spacing w:after="0"/>
              <w:rPr>
                <w:sz w:val="12"/>
                <w:szCs w:val="12"/>
                <w:color w:val="auto"/>
              </w:rPr>
            </w:pPr>
          </w:p>
        </w:tc>
        <w:tc>
          <w:tcPr>
            <w:tcW w:w="1100" w:type="dxa"/>
            <w:vAlign w:val="bottom"/>
          </w:tcPr>
          <w:p>
            <w:pPr>
              <w:jc w:val="center"/>
              <w:spacing w:after="0" w:line="147" w:lineRule="exact"/>
              <w:rPr>
                <w:sz w:val="20"/>
                <w:szCs w:val="20"/>
                <w:color w:val="auto"/>
              </w:rPr>
            </w:pPr>
            <w:r>
              <w:rPr>
                <w:rFonts w:ascii="Times New Roman" w:cs="Times New Roman" w:eastAsia="Times New Roman" w:hAnsi="Times New Roman"/>
                <w:sz w:val="14"/>
                <w:szCs w:val="14"/>
                <w:b w:val="1"/>
                <w:bCs w:val="1"/>
                <w:color w:val="auto"/>
                <w:w w:val="99"/>
              </w:rPr>
              <w:t>2026</w:t>
            </w:r>
          </w:p>
        </w:tc>
        <w:tc>
          <w:tcPr>
            <w:tcW w:w="220" w:type="dxa"/>
            <w:vAlign w:val="bottom"/>
          </w:tcPr>
          <w:p>
            <w:pPr>
              <w:spacing w:after="0"/>
              <w:rPr>
                <w:sz w:val="12"/>
                <w:szCs w:val="12"/>
                <w:color w:val="auto"/>
              </w:rPr>
            </w:pPr>
          </w:p>
        </w:tc>
        <w:tc>
          <w:tcPr>
            <w:tcW w:w="1120" w:type="dxa"/>
            <w:vAlign w:val="bottom"/>
          </w:tcPr>
          <w:p>
            <w:pPr>
              <w:jc w:val="center"/>
              <w:spacing w:after="0" w:line="147" w:lineRule="exact"/>
              <w:rPr>
                <w:sz w:val="20"/>
                <w:szCs w:val="20"/>
                <w:color w:val="auto"/>
              </w:rPr>
            </w:pPr>
            <w:r>
              <w:rPr>
                <w:rFonts w:ascii="Times New Roman" w:cs="Times New Roman" w:eastAsia="Times New Roman" w:hAnsi="Times New Roman"/>
                <w:sz w:val="14"/>
                <w:szCs w:val="14"/>
                <w:b w:val="1"/>
                <w:bCs w:val="1"/>
                <w:color w:val="auto"/>
                <w:w w:val="99"/>
              </w:rPr>
              <w:t>2026</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5"/>
        </w:trPr>
        <w:tc>
          <w:tcPr>
            <w:tcW w:w="5820" w:type="dxa"/>
            <w:vAlign w:val="bottom"/>
          </w:tcPr>
          <w:p>
            <w:pPr>
              <w:spacing w:after="0"/>
              <w:rPr>
                <w:sz w:val="15"/>
                <w:szCs w:val="15"/>
                <w:color w:val="auto"/>
              </w:rPr>
            </w:pPr>
          </w:p>
        </w:tc>
        <w:tc>
          <w:tcPr>
            <w:tcW w:w="1320" w:type="dxa"/>
            <w:vAlign w:val="bottom"/>
            <w:gridSpan w:val="2"/>
          </w:tcPr>
          <w:p>
            <w:pPr>
              <w:jc w:val="right"/>
              <w:ind w:right="620"/>
              <w:spacing w:after="0"/>
              <w:rPr>
                <w:sz w:val="20"/>
                <w:szCs w:val="20"/>
                <w:color w:val="auto"/>
              </w:rPr>
            </w:pPr>
            <w:r>
              <w:rPr>
                <w:rFonts w:ascii="Times New Roman" w:cs="Times New Roman" w:eastAsia="Times New Roman" w:hAnsi="Times New Roman"/>
                <w:sz w:val="14"/>
                <w:szCs w:val="14"/>
                <w:i w:val="1"/>
                <w:iCs w:val="1"/>
                <w:color w:val="auto"/>
              </w:rPr>
              <w:t>RMB</w:t>
            </w:r>
          </w:p>
        </w:tc>
        <w:tc>
          <w:tcPr>
            <w:tcW w:w="1320" w:type="dxa"/>
            <w:vAlign w:val="bottom"/>
            <w:gridSpan w:val="2"/>
          </w:tcPr>
          <w:p>
            <w:pPr>
              <w:jc w:val="right"/>
              <w:ind w:right="620"/>
              <w:spacing w:after="0"/>
              <w:rPr>
                <w:sz w:val="20"/>
                <w:szCs w:val="20"/>
                <w:color w:val="auto"/>
              </w:rPr>
            </w:pPr>
            <w:r>
              <w:rPr>
                <w:rFonts w:ascii="Times New Roman" w:cs="Times New Roman" w:eastAsia="Times New Roman" w:hAnsi="Times New Roman"/>
                <w:sz w:val="14"/>
                <w:szCs w:val="14"/>
                <w:i w:val="1"/>
                <w:iCs w:val="1"/>
                <w:color w:val="auto"/>
              </w:rPr>
              <w:t>RMB</w:t>
            </w:r>
          </w:p>
        </w:tc>
        <w:tc>
          <w:tcPr>
            <w:tcW w:w="132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i w:val="1"/>
                <w:iCs w:val="1"/>
                <w:color w:val="auto"/>
              </w:rPr>
              <w:t>RMB</w:t>
            </w:r>
          </w:p>
        </w:tc>
        <w:tc>
          <w:tcPr>
            <w:tcW w:w="1240" w:type="dxa"/>
            <w:vAlign w:val="bottom"/>
            <w:gridSpan w:val="2"/>
          </w:tcPr>
          <w:p>
            <w:pPr>
              <w:jc w:val="center"/>
              <w:ind w:right="140"/>
              <w:spacing w:after="0"/>
              <w:rPr>
                <w:sz w:val="20"/>
                <w:szCs w:val="20"/>
                <w:color w:val="auto"/>
              </w:rPr>
            </w:pPr>
            <w:r>
              <w:rPr>
                <w:rFonts w:ascii="Times New Roman" w:cs="Times New Roman" w:eastAsia="Times New Roman" w:hAnsi="Times New Roman"/>
                <w:sz w:val="14"/>
                <w:szCs w:val="14"/>
                <w:b w:val="1"/>
                <w:bCs w:val="1"/>
                <w:i w:val="1"/>
                <w:iCs w:val="1"/>
                <w:color w:val="auto"/>
              </w:rPr>
              <w:t>US$</w:t>
            </w:r>
          </w:p>
        </w:tc>
        <w:tc>
          <w:tcPr>
            <w:tcW w:w="0" w:type="dxa"/>
            <w:vAlign w:val="bottom"/>
          </w:tcPr>
          <w:p>
            <w:pPr>
              <w:spacing w:after="0"/>
              <w:rPr>
                <w:sz w:val="1"/>
                <w:szCs w:val="1"/>
                <w:color w:val="auto"/>
              </w:rPr>
            </w:pPr>
          </w:p>
        </w:tc>
      </w:tr>
      <w:tr>
        <w:trPr>
          <w:trHeight w:val="216"/>
        </w:trPr>
        <w:tc>
          <w:tcPr>
            <w:tcW w:w="58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Net (loss) profit</w:t>
            </w:r>
          </w:p>
        </w:tc>
        <w:tc>
          <w:tcPr>
            <w:tcW w:w="13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(664,046)</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383,208</w:t>
            </w:r>
          </w:p>
        </w:tc>
        <w:tc>
          <w:tcPr>
            <w:tcW w:w="13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(1,784,100)</w:t>
            </w:r>
          </w:p>
        </w:tc>
        <w:tc>
          <w:tcPr>
            <w:tcW w:w="12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(258,639)</w:t>
            </w:r>
          </w:p>
        </w:tc>
        <w:tc>
          <w:tcPr>
            <w:tcW w:w="0" w:type="dxa"/>
            <w:vAlign w:val="bottom"/>
          </w:tcPr>
          <w:p>
            <w:pPr>
              <w:spacing w:after="0"/>
              <w:rPr>
                <w:sz w:val="1"/>
                <w:szCs w:val="1"/>
                <w:color w:val="auto"/>
              </w:rPr>
            </w:pPr>
          </w:p>
        </w:tc>
      </w:tr>
      <w:tr>
        <w:trPr>
          <w:trHeight w:val="216"/>
        </w:trPr>
        <w:tc>
          <w:tcPr>
            <w:tcW w:w="58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Other comprehensive loss</w:t>
            </w: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Foreign currency translation adjustment, net of tax</w:t>
            </w:r>
          </w:p>
        </w:tc>
        <w:tc>
          <w:tcPr>
            <w:tcW w:w="13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(25,710)</w:t>
            </w:r>
          </w:p>
        </w:tc>
        <w:tc>
          <w:tcPr>
            <w:tcW w:w="13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(166,194)</w:t>
            </w:r>
          </w:p>
        </w:tc>
        <w:tc>
          <w:tcPr>
            <w:tcW w:w="13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(274,419)</w:t>
            </w:r>
          </w:p>
        </w:tc>
        <w:tc>
          <w:tcPr>
            <w:tcW w:w="12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(39,782)</w:t>
            </w:r>
          </w:p>
        </w:tc>
        <w:tc>
          <w:tcPr>
            <w:tcW w:w="0" w:type="dxa"/>
            <w:vAlign w:val="bottom"/>
          </w:tcPr>
          <w:p>
            <w:pPr>
              <w:spacing w:after="0"/>
              <w:rPr>
                <w:sz w:val="1"/>
                <w:szCs w:val="1"/>
                <w:color w:val="auto"/>
              </w:rPr>
            </w:pPr>
          </w:p>
        </w:tc>
      </w:tr>
      <w:tr>
        <w:trPr>
          <w:trHeight w:val="230"/>
        </w:trPr>
        <w:tc>
          <w:tcPr>
            <w:tcW w:w="58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 comprehensive (loss) profit attributable to XPeng Inc.</w:t>
            </w:r>
          </w:p>
        </w:tc>
        <w:tc>
          <w:tcPr>
            <w:tcW w:w="1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(689,756)</w:t>
            </w:r>
          </w:p>
        </w:tc>
        <w:tc>
          <w:tcPr>
            <w:tcW w:w="220" w:type="dxa"/>
            <w:vAlign w:val="bottom"/>
          </w:tcPr>
          <w:p>
            <w:pPr>
              <w:spacing w:after="0"/>
              <w:rPr>
                <w:sz w:val="20"/>
                <w:szCs w:val="20"/>
                <w:color w:val="auto"/>
              </w:rPr>
            </w:pPr>
          </w:p>
        </w:tc>
        <w:tc>
          <w:tcPr>
            <w:tcW w:w="1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217,014</w:t>
            </w:r>
          </w:p>
        </w:tc>
        <w:tc>
          <w:tcPr>
            <w:tcW w:w="220" w:type="dxa"/>
            <w:vAlign w:val="bottom"/>
          </w:tcPr>
          <w:p>
            <w:pPr>
              <w:spacing w:after="0"/>
              <w:rPr>
                <w:sz w:val="20"/>
                <w:szCs w:val="20"/>
                <w:color w:val="auto"/>
              </w:rPr>
            </w:pPr>
          </w:p>
        </w:tc>
        <w:tc>
          <w:tcPr>
            <w:tcW w:w="1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(2,058,519)</w:t>
            </w:r>
          </w:p>
        </w:tc>
        <w:tc>
          <w:tcPr>
            <w:tcW w:w="220" w:type="dxa"/>
            <w:vAlign w:val="bottom"/>
          </w:tcPr>
          <w:p>
            <w:pPr>
              <w:spacing w:after="0"/>
              <w:rPr>
                <w:sz w:val="20"/>
                <w:szCs w:val="20"/>
                <w:color w:val="auto"/>
              </w:rPr>
            </w:pP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(298,421)</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4"/>
        </w:trPr>
        <w:tc>
          <w:tcPr>
            <w:tcW w:w="5820" w:type="dxa"/>
            <w:vAlign w:val="bottom"/>
            <w:shd w:val="clear" w:color="auto" w:fill="CCEEFF"/>
          </w:tcPr>
          <w:p>
            <w:pPr>
              <w:spacing w:after="0" w:line="194" w:lineRule="exact"/>
              <w:rPr>
                <w:sz w:val="20"/>
                <w:szCs w:val="20"/>
                <w:color w:val="auto"/>
              </w:rPr>
            </w:pPr>
            <w:r>
              <w:rPr>
                <w:rFonts w:ascii="Times New Roman" w:cs="Times New Roman" w:eastAsia="Times New Roman" w:hAnsi="Times New Roman"/>
                <w:sz w:val="18"/>
                <w:szCs w:val="18"/>
                <w:b w:val="1"/>
                <w:bCs w:val="1"/>
                <w:color w:val="auto"/>
              </w:rPr>
              <w:t>Comprehensive (loss) profit attributable to ordinary shareholders of</w:t>
            </w:r>
          </w:p>
        </w:tc>
        <w:tc>
          <w:tcPr>
            <w:tcW w:w="11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1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1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8"/>
        </w:trPr>
        <w:tc>
          <w:tcPr>
            <w:tcW w:w="58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b w:val="1"/>
                <w:bCs w:val="1"/>
                <w:color w:val="auto"/>
              </w:rPr>
              <w:t>XPeng Inc.</w:t>
            </w:r>
          </w:p>
        </w:tc>
        <w:tc>
          <w:tcPr>
            <w:tcW w:w="13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(689,756)</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217,014</w:t>
            </w:r>
          </w:p>
        </w:tc>
        <w:tc>
          <w:tcPr>
            <w:tcW w:w="13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(2,058,519)</w:t>
            </w:r>
          </w:p>
        </w:tc>
        <w:tc>
          <w:tcPr>
            <w:tcW w:w="12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(298,421)</w:t>
            </w:r>
          </w:p>
        </w:tc>
        <w:tc>
          <w:tcPr>
            <w:tcW w:w="0" w:type="dxa"/>
            <w:vAlign w:val="bottom"/>
          </w:tcPr>
          <w:p>
            <w:pPr>
              <w:spacing w:after="0"/>
              <w:rPr>
                <w:sz w:val="1"/>
                <w:szCs w:val="1"/>
                <w:color w:val="auto"/>
              </w:rPr>
            </w:pPr>
          </w:p>
        </w:tc>
      </w:tr>
      <w:tr>
        <w:trPr>
          <w:trHeight w:val="20"/>
        </w:trPr>
        <w:tc>
          <w:tcPr>
            <w:tcW w:w="582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Weighted average number of ordinary shares used in computing net (loss)</w:t>
            </w: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8"/>
        </w:trPr>
        <w:tc>
          <w:tcPr>
            <w:tcW w:w="5820" w:type="dxa"/>
            <w:vAlign w:val="bottom"/>
            <w:vMerge w:val="continue"/>
          </w:tcPr>
          <w:p>
            <w:pPr>
              <w:spacing w:after="0"/>
              <w:rPr>
                <w:sz w:val="16"/>
                <w:szCs w:val="16"/>
                <w:color w:val="auto"/>
              </w:rPr>
            </w:pPr>
          </w:p>
        </w:tc>
        <w:tc>
          <w:tcPr>
            <w:tcW w:w="1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8"/>
        </w:trPr>
        <w:tc>
          <w:tcPr>
            <w:tcW w:w="5820" w:type="dxa"/>
            <w:vAlign w:val="bottom"/>
          </w:tcPr>
          <w:p>
            <w:pPr>
              <w:ind w:left="180"/>
              <w:spacing w:after="0"/>
              <w:rPr>
                <w:sz w:val="20"/>
                <w:szCs w:val="20"/>
                <w:color w:val="auto"/>
              </w:rPr>
            </w:pPr>
            <w:r>
              <w:rPr>
                <w:rFonts w:ascii="Times New Roman" w:cs="Times New Roman" w:eastAsia="Times New Roman" w:hAnsi="Times New Roman"/>
                <w:sz w:val="18"/>
                <w:szCs w:val="18"/>
                <w:b w:val="1"/>
                <w:bCs w:val="1"/>
                <w:color w:val="auto"/>
              </w:rPr>
              <w:t>profit per ordinary share</w:t>
            </w:r>
          </w:p>
        </w:tc>
        <w:tc>
          <w:tcPr>
            <w:tcW w:w="1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58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Basic</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1,899,365,591</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1,908,651,262</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1,910,568,643</w:t>
            </w:r>
          </w:p>
        </w:tc>
        <w:tc>
          <w:tcPr>
            <w:tcW w:w="12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1,910,568,643</w:t>
            </w:r>
          </w:p>
        </w:tc>
        <w:tc>
          <w:tcPr>
            <w:tcW w:w="0" w:type="dxa"/>
            <w:vAlign w:val="bottom"/>
          </w:tcPr>
          <w:p>
            <w:pPr>
              <w:spacing w:after="0"/>
              <w:rPr>
                <w:sz w:val="1"/>
                <w:szCs w:val="1"/>
                <w:color w:val="auto"/>
              </w:rPr>
            </w:pPr>
          </w:p>
        </w:tc>
      </w:tr>
      <w:tr>
        <w:trPr>
          <w:trHeight w:val="216"/>
        </w:trPr>
        <w:tc>
          <w:tcPr>
            <w:tcW w:w="5820" w:type="dxa"/>
            <w:vAlign w:val="bottom"/>
          </w:tcPr>
          <w:p>
            <w:pPr>
              <w:spacing w:after="0"/>
              <w:rPr>
                <w:sz w:val="20"/>
                <w:szCs w:val="20"/>
                <w:color w:val="auto"/>
              </w:rPr>
            </w:pPr>
            <w:r>
              <w:rPr>
                <w:rFonts w:ascii="Times New Roman" w:cs="Times New Roman" w:eastAsia="Times New Roman" w:hAnsi="Times New Roman"/>
                <w:sz w:val="18"/>
                <w:szCs w:val="18"/>
                <w:color w:val="auto"/>
              </w:rPr>
              <w:t>Diluted</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1,899,365,591</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1,934,719,272</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1,910,568,643</w:t>
            </w:r>
          </w:p>
        </w:tc>
        <w:tc>
          <w:tcPr>
            <w:tcW w:w="12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1,910,568,643</w:t>
            </w:r>
          </w:p>
        </w:tc>
        <w:tc>
          <w:tcPr>
            <w:tcW w:w="0" w:type="dxa"/>
            <w:vAlign w:val="bottom"/>
          </w:tcPr>
          <w:p>
            <w:pPr>
              <w:spacing w:after="0"/>
              <w:rPr>
                <w:sz w:val="1"/>
                <w:szCs w:val="1"/>
                <w:color w:val="auto"/>
              </w:rPr>
            </w:pPr>
          </w:p>
        </w:tc>
      </w:tr>
      <w:tr>
        <w:trPr>
          <w:trHeight w:val="216"/>
        </w:trPr>
        <w:tc>
          <w:tcPr>
            <w:tcW w:w="58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Net (loss) profit per ordinary share attributable to ordinary shareholders</w:t>
            </w:r>
          </w:p>
        </w:tc>
        <w:tc>
          <w:tcPr>
            <w:tcW w:w="1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20" w:type="dxa"/>
            <w:vAlign w:val="bottom"/>
          </w:tcPr>
          <w:p>
            <w:pPr>
              <w:spacing w:after="0"/>
              <w:rPr>
                <w:sz w:val="20"/>
                <w:szCs w:val="20"/>
                <w:color w:val="auto"/>
              </w:rPr>
            </w:pPr>
            <w:r>
              <w:rPr>
                <w:rFonts w:ascii="Times New Roman" w:cs="Times New Roman" w:eastAsia="Times New Roman" w:hAnsi="Times New Roman"/>
                <w:sz w:val="18"/>
                <w:szCs w:val="18"/>
                <w:color w:val="auto"/>
              </w:rPr>
              <w:t>Basic</w:t>
            </w:r>
          </w:p>
        </w:tc>
        <w:tc>
          <w:tcPr>
            <w:tcW w:w="13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(0.35)</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0.20</w:t>
            </w:r>
          </w:p>
        </w:tc>
        <w:tc>
          <w:tcPr>
            <w:tcW w:w="13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(0.93)</w:t>
            </w:r>
          </w:p>
        </w:tc>
        <w:tc>
          <w:tcPr>
            <w:tcW w:w="12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(0.14)</w:t>
            </w:r>
          </w:p>
        </w:tc>
        <w:tc>
          <w:tcPr>
            <w:tcW w:w="0" w:type="dxa"/>
            <w:vAlign w:val="bottom"/>
          </w:tcPr>
          <w:p>
            <w:pPr>
              <w:spacing w:after="0"/>
              <w:rPr>
                <w:sz w:val="1"/>
                <w:szCs w:val="1"/>
                <w:color w:val="auto"/>
              </w:rPr>
            </w:pPr>
          </w:p>
        </w:tc>
      </w:tr>
      <w:tr>
        <w:trPr>
          <w:trHeight w:val="216"/>
        </w:trPr>
        <w:tc>
          <w:tcPr>
            <w:tcW w:w="58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Diluted</w:t>
            </w:r>
          </w:p>
        </w:tc>
        <w:tc>
          <w:tcPr>
            <w:tcW w:w="13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(0.35)</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0.20</w:t>
            </w:r>
          </w:p>
        </w:tc>
        <w:tc>
          <w:tcPr>
            <w:tcW w:w="13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(0.93)</w:t>
            </w:r>
          </w:p>
        </w:tc>
        <w:tc>
          <w:tcPr>
            <w:tcW w:w="12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(0.14)</w:t>
            </w:r>
          </w:p>
        </w:tc>
        <w:tc>
          <w:tcPr>
            <w:tcW w:w="0" w:type="dxa"/>
            <w:vAlign w:val="bottom"/>
          </w:tcPr>
          <w:p>
            <w:pPr>
              <w:spacing w:after="0"/>
              <w:rPr>
                <w:sz w:val="1"/>
                <w:szCs w:val="1"/>
                <w:color w:val="auto"/>
              </w:rPr>
            </w:pPr>
          </w:p>
        </w:tc>
      </w:tr>
      <w:tr>
        <w:trPr>
          <w:trHeight w:val="194"/>
        </w:trPr>
        <w:tc>
          <w:tcPr>
            <w:tcW w:w="5820" w:type="dxa"/>
            <w:vAlign w:val="bottom"/>
          </w:tcPr>
          <w:p>
            <w:pPr>
              <w:spacing w:after="0" w:line="194" w:lineRule="exact"/>
              <w:rPr>
                <w:sz w:val="20"/>
                <w:szCs w:val="20"/>
                <w:color w:val="auto"/>
              </w:rPr>
            </w:pPr>
            <w:r>
              <w:rPr>
                <w:rFonts w:ascii="Times New Roman" w:cs="Times New Roman" w:eastAsia="Times New Roman" w:hAnsi="Times New Roman"/>
                <w:sz w:val="18"/>
                <w:szCs w:val="18"/>
                <w:b w:val="1"/>
                <w:bCs w:val="1"/>
                <w:color w:val="auto"/>
              </w:rPr>
              <w:t>Weighted average number of ADS used in computing net (loss) profit per</w:t>
            </w:r>
          </w:p>
        </w:tc>
        <w:tc>
          <w:tcPr>
            <w:tcW w:w="1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8"/>
        </w:trPr>
        <w:tc>
          <w:tcPr>
            <w:tcW w:w="5820" w:type="dxa"/>
            <w:vAlign w:val="bottom"/>
          </w:tcPr>
          <w:p>
            <w:pPr>
              <w:ind w:left="180"/>
              <w:spacing w:after="0"/>
              <w:rPr>
                <w:sz w:val="20"/>
                <w:szCs w:val="20"/>
                <w:color w:val="auto"/>
              </w:rPr>
            </w:pPr>
            <w:r>
              <w:rPr>
                <w:rFonts w:ascii="Times New Roman" w:cs="Times New Roman" w:eastAsia="Times New Roman" w:hAnsi="Times New Roman"/>
                <w:sz w:val="18"/>
                <w:szCs w:val="18"/>
                <w:b w:val="1"/>
                <w:bCs w:val="1"/>
                <w:color w:val="auto"/>
              </w:rPr>
              <w:t>share</w:t>
            </w:r>
          </w:p>
        </w:tc>
        <w:tc>
          <w:tcPr>
            <w:tcW w:w="1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58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Basic</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949,682,796</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954,325,631</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955,284,322</w:t>
            </w:r>
          </w:p>
        </w:tc>
        <w:tc>
          <w:tcPr>
            <w:tcW w:w="12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955,284,322</w:t>
            </w:r>
          </w:p>
        </w:tc>
        <w:tc>
          <w:tcPr>
            <w:tcW w:w="0" w:type="dxa"/>
            <w:vAlign w:val="bottom"/>
          </w:tcPr>
          <w:p>
            <w:pPr>
              <w:spacing w:after="0"/>
              <w:rPr>
                <w:sz w:val="1"/>
                <w:szCs w:val="1"/>
                <w:color w:val="auto"/>
              </w:rPr>
            </w:pPr>
          </w:p>
        </w:tc>
      </w:tr>
      <w:tr>
        <w:trPr>
          <w:trHeight w:val="216"/>
        </w:trPr>
        <w:tc>
          <w:tcPr>
            <w:tcW w:w="5820" w:type="dxa"/>
            <w:vAlign w:val="bottom"/>
          </w:tcPr>
          <w:p>
            <w:pPr>
              <w:spacing w:after="0"/>
              <w:rPr>
                <w:sz w:val="20"/>
                <w:szCs w:val="20"/>
                <w:color w:val="auto"/>
              </w:rPr>
            </w:pPr>
            <w:r>
              <w:rPr>
                <w:rFonts w:ascii="Times New Roman" w:cs="Times New Roman" w:eastAsia="Times New Roman" w:hAnsi="Times New Roman"/>
                <w:sz w:val="18"/>
                <w:szCs w:val="18"/>
                <w:color w:val="auto"/>
              </w:rPr>
              <w:t>Diluted</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949,682,796</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967,359,636</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955,284,322</w:t>
            </w:r>
          </w:p>
        </w:tc>
        <w:tc>
          <w:tcPr>
            <w:tcW w:w="12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955,284,322</w:t>
            </w:r>
          </w:p>
        </w:tc>
        <w:tc>
          <w:tcPr>
            <w:tcW w:w="0" w:type="dxa"/>
            <w:vAlign w:val="bottom"/>
          </w:tcPr>
          <w:p>
            <w:pPr>
              <w:spacing w:after="0"/>
              <w:rPr>
                <w:sz w:val="1"/>
                <w:szCs w:val="1"/>
                <w:color w:val="auto"/>
              </w:rPr>
            </w:pPr>
          </w:p>
        </w:tc>
      </w:tr>
      <w:tr>
        <w:trPr>
          <w:trHeight w:val="216"/>
        </w:trPr>
        <w:tc>
          <w:tcPr>
            <w:tcW w:w="58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Net (loss) profit per ADS attributable to ordinary shareholders</w:t>
            </w:r>
          </w:p>
        </w:tc>
        <w:tc>
          <w:tcPr>
            <w:tcW w:w="1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20" w:type="dxa"/>
            <w:vAlign w:val="bottom"/>
          </w:tcPr>
          <w:p>
            <w:pPr>
              <w:spacing w:after="0"/>
              <w:rPr>
                <w:sz w:val="20"/>
                <w:szCs w:val="20"/>
                <w:color w:val="auto"/>
              </w:rPr>
            </w:pPr>
            <w:r>
              <w:rPr>
                <w:rFonts w:ascii="Times New Roman" w:cs="Times New Roman" w:eastAsia="Times New Roman" w:hAnsi="Times New Roman"/>
                <w:sz w:val="18"/>
                <w:szCs w:val="18"/>
                <w:color w:val="auto"/>
              </w:rPr>
              <w:t>Basic</w:t>
            </w:r>
          </w:p>
        </w:tc>
        <w:tc>
          <w:tcPr>
            <w:tcW w:w="13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(0.70)</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0.40</w:t>
            </w:r>
          </w:p>
        </w:tc>
        <w:tc>
          <w:tcPr>
            <w:tcW w:w="13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(1.87)</w:t>
            </w:r>
          </w:p>
        </w:tc>
        <w:tc>
          <w:tcPr>
            <w:tcW w:w="12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(0.27)</w:t>
            </w:r>
          </w:p>
        </w:tc>
        <w:tc>
          <w:tcPr>
            <w:tcW w:w="0" w:type="dxa"/>
            <w:vAlign w:val="bottom"/>
          </w:tcPr>
          <w:p>
            <w:pPr>
              <w:spacing w:after="0"/>
              <w:rPr>
                <w:sz w:val="1"/>
                <w:szCs w:val="1"/>
                <w:color w:val="auto"/>
              </w:rPr>
            </w:pPr>
          </w:p>
        </w:tc>
      </w:tr>
      <w:tr>
        <w:trPr>
          <w:trHeight w:val="216"/>
        </w:trPr>
        <w:tc>
          <w:tcPr>
            <w:tcW w:w="58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Diluted</w:t>
            </w:r>
          </w:p>
        </w:tc>
        <w:tc>
          <w:tcPr>
            <w:tcW w:w="13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(0.70)</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0.40</w:t>
            </w:r>
          </w:p>
        </w:tc>
        <w:tc>
          <w:tcPr>
            <w:tcW w:w="13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(1.87)</w:t>
            </w:r>
          </w:p>
        </w:tc>
        <w:tc>
          <w:tcPr>
            <w:tcW w:w="12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(0.27)</w:t>
            </w:r>
          </w:p>
        </w:tc>
        <w:tc>
          <w:tcPr>
            <w:tcW w:w="0" w:type="dxa"/>
            <w:vAlign w:val="bottom"/>
          </w:tcPr>
          <w:p>
            <w:pPr>
              <w:spacing w:after="0"/>
              <w:rPr>
                <w:sz w:val="1"/>
                <w:szCs w:val="1"/>
                <w:color w:val="auto"/>
              </w:rPr>
            </w:pPr>
          </w:p>
        </w:tc>
      </w:tr>
      <w:tr>
        <w:trPr>
          <w:trHeight w:val="365"/>
        </w:trPr>
        <w:tc>
          <w:tcPr>
            <w:tcW w:w="5820" w:type="dxa"/>
            <w:vAlign w:val="bottom"/>
          </w:tcPr>
          <w:p>
            <w:pPr>
              <w:ind w:left="5420"/>
              <w:spacing w:after="0"/>
              <w:rPr>
                <w:sz w:val="20"/>
                <w:szCs w:val="20"/>
                <w:color w:val="auto"/>
              </w:rPr>
            </w:pPr>
            <w:r>
              <w:rPr>
                <w:rFonts w:ascii="Times New Roman" w:cs="Times New Roman" w:eastAsia="Times New Roman" w:hAnsi="Times New Roman"/>
                <w:sz w:val="18"/>
                <w:szCs w:val="18"/>
                <w:color w:val="auto"/>
              </w:rPr>
              <w:t>12</w:t>
            </w:r>
          </w:p>
        </w:tc>
        <w:tc>
          <w:tcPr>
            <w:tcW w:w="1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020"/>
          </w:cols>
          <w:pgMar w:left="440" w:top="738" w:right="439" w:bottom="1440" w:gutter="0" w:footer="0" w:header="0"/>
        </w:sectPr>
      </w:pPr>
    </w:p>
    <w:bookmarkStart w:id="15" w:name="page16"/>
    <w:bookmarkEnd w:id="15"/>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74865" cy="3873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183515</wp:posOffset>
            </wp:positionV>
            <wp:extent cx="1251585" cy="14605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clrChange>
                        <a:clrFrom>
                          <a:srgbClr val="FFFFFF"/>
                        </a:clrFrom>
                        <a:clrTo>
                          <a:srgbClr val="FFFFFF">
                            <a:alpha val="0"/>
                          </a:srgbClr>
                        </a:clrTo>
                      </a:clrChange>
                      <a:extLst>
                        <a:ext uri="{28A0092B-C50C-407E-A947-70E740481C1C}"/>
                      </a:extLst>
                    </a:blip>
                    <a:srcRect/>
                    <a:stretch>
                      <a:fillRect/>
                    </a:stretch>
                  </pic:blipFill>
                  <pic:spPr bwMode="auto">
                    <a:xfrm>
                      <a:off x="0" y="0"/>
                      <a:ext cx="1251585" cy="146050"/>
                    </a:xfrm>
                    <a:prstGeom prst="rect">
                      <a:avLst/>
                    </a:prstGeom>
                    <a:noFill/>
                  </pic:spPr>
                </pic:pic>
              </a:graphicData>
            </a:graphic>
          </wp:anchor>
        </w:drawing>
        <w:t>XPENG INC.</w:t>
      </w:r>
    </w:p>
    <w:p>
      <w:pPr>
        <w:spacing w:after="0" w:line="3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UNAUDITED RECONCILIATIONS OF GAAP AND NON-GAAP RESULTS</w:t>
      </w:r>
    </w:p>
    <w:p>
      <w:pPr>
        <w:spacing w:after="0" w:line="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(All amounts in thousands, except for ADS/ordinary share and per ADS/ordinary share data)</w:t>
      </w:r>
    </w:p>
    <w:p>
      <w:pPr>
        <w:spacing w:after="0" w:line="21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36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320" w:type="dxa"/>
            <w:vAlign w:val="bottom"/>
            <w:gridSpan w:val="2"/>
            <w:vMerge w:val="restart"/>
          </w:tcPr>
          <w:p>
            <w:pPr>
              <w:jc w:val="right"/>
              <w:ind w:right="460"/>
              <w:spacing w:after="0"/>
              <w:rPr>
                <w:sz w:val="20"/>
                <w:szCs w:val="20"/>
                <w:color w:val="auto"/>
              </w:rPr>
            </w:pPr>
            <w:r>
              <w:rPr>
                <w:rFonts w:ascii="Times New Roman" w:cs="Times New Roman" w:eastAsia="Times New Roman" w:hAnsi="Times New Roman"/>
                <w:sz w:val="14"/>
                <w:szCs w:val="14"/>
                <w:color w:val="auto"/>
              </w:rPr>
              <w:t>March 31,</w:t>
            </w:r>
          </w:p>
        </w:tc>
        <w:tc>
          <w:tcPr>
            <w:tcW w:w="2640" w:type="dxa"/>
            <w:vAlign w:val="bottom"/>
            <w:gridSpan w:val="4"/>
          </w:tcPr>
          <w:p>
            <w:pPr>
              <w:jc w:val="right"/>
              <w:ind w:right="76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240" w:type="dxa"/>
            <w:vAlign w:val="bottom"/>
            <w:gridSpan w:val="2"/>
            <w:vMerge w:val="restart"/>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0" w:type="dxa"/>
            <w:vAlign w:val="bottom"/>
          </w:tcPr>
          <w:p>
            <w:pPr>
              <w:spacing w:after="0"/>
              <w:rPr>
                <w:sz w:val="1"/>
                <w:szCs w:val="1"/>
                <w:color w:val="auto"/>
              </w:rPr>
            </w:pPr>
          </w:p>
        </w:tc>
      </w:tr>
      <w:tr>
        <w:trPr>
          <w:trHeight w:val="148"/>
        </w:trPr>
        <w:tc>
          <w:tcPr>
            <w:tcW w:w="53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320" w:type="dxa"/>
            <w:vAlign w:val="bottom"/>
            <w:gridSpan w:val="2"/>
            <w:vMerge w:val="continue"/>
          </w:tcPr>
          <w:p>
            <w:pPr>
              <w:spacing w:after="0"/>
              <w:rPr>
                <w:sz w:val="12"/>
                <w:szCs w:val="12"/>
                <w:color w:val="auto"/>
              </w:rPr>
            </w:pPr>
          </w:p>
        </w:tc>
        <w:tc>
          <w:tcPr>
            <w:tcW w:w="1320" w:type="dxa"/>
            <w:vAlign w:val="bottom"/>
            <w:gridSpan w:val="2"/>
          </w:tcPr>
          <w:p>
            <w:pPr>
              <w:jc w:val="right"/>
              <w:ind w:right="360"/>
              <w:spacing w:after="0" w:line="149" w:lineRule="exact"/>
              <w:rPr>
                <w:sz w:val="20"/>
                <w:szCs w:val="20"/>
                <w:color w:val="auto"/>
              </w:rPr>
            </w:pPr>
            <w:r>
              <w:rPr>
                <w:rFonts w:ascii="Times New Roman" w:cs="Times New Roman" w:eastAsia="Times New Roman" w:hAnsi="Times New Roman"/>
                <w:sz w:val="14"/>
                <w:szCs w:val="14"/>
                <w:color w:val="auto"/>
              </w:rPr>
              <w:t>December 31,</w:t>
            </w:r>
          </w:p>
        </w:tc>
        <w:tc>
          <w:tcPr>
            <w:tcW w:w="1320" w:type="dxa"/>
            <w:vAlign w:val="bottom"/>
            <w:gridSpan w:val="2"/>
          </w:tcPr>
          <w:p>
            <w:pPr>
              <w:jc w:val="center"/>
              <w:ind w:right="220"/>
              <w:spacing w:after="0" w:line="149" w:lineRule="exact"/>
              <w:rPr>
                <w:sz w:val="20"/>
                <w:szCs w:val="20"/>
                <w:color w:val="auto"/>
              </w:rPr>
            </w:pPr>
            <w:r>
              <w:rPr>
                <w:rFonts w:ascii="Times New Roman" w:cs="Times New Roman" w:eastAsia="Times New Roman" w:hAnsi="Times New Roman"/>
                <w:sz w:val="14"/>
                <w:szCs w:val="14"/>
                <w:b w:val="1"/>
                <w:bCs w:val="1"/>
                <w:color w:val="auto"/>
              </w:rPr>
              <w:t>March 31,</w:t>
            </w:r>
          </w:p>
        </w:tc>
        <w:tc>
          <w:tcPr>
            <w:tcW w:w="124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5360" w:type="dxa"/>
            <w:vAlign w:val="bottom"/>
          </w:tcPr>
          <w:p>
            <w:pPr>
              <w:spacing w:after="0"/>
              <w:rPr>
                <w:sz w:val="12"/>
                <w:szCs w:val="12"/>
                <w:color w:val="auto"/>
              </w:rPr>
            </w:pPr>
          </w:p>
        </w:tc>
        <w:tc>
          <w:tcPr>
            <w:tcW w:w="1560" w:type="dxa"/>
            <w:vAlign w:val="bottom"/>
            <w:gridSpan w:val="2"/>
          </w:tcPr>
          <w:p>
            <w:pPr>
              <w:jc w:val="right"/>
              <w:ind w:right="319"/>
              <w:spacing w:after="0" w:line="147" w:lineRule="exact"/>
              <w:rPr>
                <w:sz w:val="20"/>
                <w:szCs w:val="20"/>
                <w:color w:val="auto"/>
              </w:rPr>
            </w:pPr>
            <w:r>
              <w:rPr>
                <w:rFonts w:ascii="Times New Roman" w:cs="Times New Roman" w:eastAsia="Times New Roman" w:hAnsi="Times New Roman"/>
                <w:sz w:val="14"/>
                <w:szCs w:val="14"/>
                <w:color w:val="auto"/>
              </w:rPr>
              <w:t>2025</w:t>
            </w:r>
          </w:p>
        </w:tc>
        <w:tc>
          <w:tcPr>
            <w:tcW w:w="220" w:type="dxa"/>
            <w:vAlign w:val="bottom"/>
          </w:tcPr>
          <w:p>
            <w:pPr>
              <w:spacing w:after="0"/>
              <w:rPr>
                <w:sz w:val="12"/>
                <w:szCs w:val="12"/>
                <w:color w:val="auto"/>
              </w:rPr>
            </w:pPr>
          </w:p>
        </w:tc>
        <w:tc>
          <w:tcPr>
            <w:tcW w:w="1100" w:type="dxa"/>
            <w:vAlign w:val="bottom"/>
          </w:tcPr>
          <w:p>
            <w:pPr>
              <w:jc w:val="right"/>
              <w:ind w:right="313"/>
              <w:spacing w:after="0" w:line="147" w:lineRule="exact"/>
              <w:rPr>
                <w:sz w:val="20"/>
                <w:szCs w:val="20"/>
                <w:color w:val="auto"/>
              </w:rPr>
            </w:pPr>
            <w:r>
              <w:rPr>
                <w:rFonts w:ascii="Times New Roman" w:cs="Times New Roman" w:eastAsia="Times New Roman" w:hAnsi="Times New Roman"/>
                <w:sz w:val="14"/>
                <w:szCs w:val="14"/>
                <w:color w:val="auto"/>
              </w:rPr>
              <w:t>2025</w:t>
            </w:r>
          </w:p>
        </w:tc>
        <w:tc>
          <w:tcPr>
            <w:tcW w:w="220" w:type="dxa"/>
            <w:vAlign w:val="bottom"/>
          </w:tcPr>
          <w:p>
            <w:pPr>
              <w:spacing w:after="0"/>
              <w:rPr>
                <w:sz w:val="12"/>
                <w:szCs w:val="12"/>
                <w:color w:val="auto"/>
              </w:rPr>
            </w:pPr>
          </w:p>
        </w:tc>
        <w:tc>
          <w:tcPr>
            <w:tcW w:w="1100" w:type="dxa"/>
            <w:vAlign w:val="bottom"/>
          </w:tcPr>
          <w:p>
            <w:pPr>
              <w:jc w:val="center"/>
              <w:spacing w:after="0" w:line="147" w:lineRule="exact"/>
              <w:rPr>
                <w:sz w:val="20"/>
                <w:szCs w:val="20"/>
                <w:color w:val="auto"/>
              </w:rPr>
            </w:pPr>
            <w:r>
              <w:rPr>
                <w:rFonts w:ascii="Times New Roman" w:cs="Times New Roman" w:eastAsia="Times New Roman" w:hAnsi="Times New Roman"/>
                <w:sz w:val="14"/>
                <w:szCs w:val="14"/>
                <w:b w:val="1"/>
                <w:bCs w:val="1"/>
                <w:color w:val="auto"/>
                <w:w w:val="99"/>
              </w:rPr>
              <w:t>2026</w:t>
            </w:r>
          </w:p>
        </w:tc>
        <w:tc>
          <w:tcPr>
            <w:tcW w:w="220" w:type="dxa"/>
            <w:vAlign w:val="bottom"/>
          </w:tcPr>
          <w:p>
            <w:pPr>
              <w:spacing w:after="0"/>
              <w:rPr>
                <w:sz w:val="12"/>
                <w:szCs w:val="12"/>
                <w:color w:val="auto"/>
              </w:rPr>
            </w:pPr>
          </w:p>
        </w:tc>
        <w:tc>
          <w:tcPr>
            <w:tcW w:w="1120" w:type="dxa"/>
            <w:vAlign w:val="bottom"/>
          </w:tcPr>
          <w:p>
            <w:pPr>
              <w:jc w:val="center"/>
              <w:spacing w:after="0" w:line="147" w:lineRule="exact"/>
              <w:rPr>
                <w:sz w:val="20"/>
                <w:szCs w:val="20"/>
                <w:color w:val="auto"/>
              </w:rPr>
            </w:pPr>
            <w:r>
              <w:rPr>
                <w:rFonts w:ascii="Times New Roman" w:cs="Times New Roman" w:eastAsia="Times New Roman" w:hAnsi="Times New Roman"/>
                <w:sz w:val="14"/>
                <w:szCs w:val="14"/>
                <w:b w:val="1"/>
                <w:bCs w:val="1"/>
                <w:color w:val="auto"/>
                <w:w w:val="99"/>
              </w:rPr>
              <w:t>2026</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5"/>
        </w:trPr>
        <w:tc>
          <w:tcPr>
            <w:tcW w:w="536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320" w:type="dxa"/>
            <w:vAlign w:val="bottom"/>
            <w:gridSpan w:val="2"/>
          </w:tcPr>
          <w:p>
            <w:pPr>
              <w:jc w:val="right"/>
              <w:ind w:right="620"/>
              <w:spacing w:after="0"/>
              <w:rPr>
                <w:sz w:val="20"/>
                <w:szCs w:val="20"/>
                <w:color w:val="auto"/>
              </w:rPr>
            </w:pPr>
            <w:r>
              <w:rPr>
                <w:rFonts w:ascii="Times New Roman" w:cs="Times New Roman" w:eastAsia="Times New Roman" w:hAnsi="Times New Roman"/>
                <w:sz w:val="14"/>
                <w:szCs w:val="14"/>
                <w:i w:val="1"/>
                <w:iCs w:val="1"/>
                <w:color w:val="auto"/>
              </w:rPr>
              <w:t>RMB</w:t>
            </w:r>
          </w:p>
        </w:tc>
        <w:tc>
          <w:tcPr>
            <w:tcW w:w="1320" w:type="dxa"/>
            <w:vAlign w:val="bottom"/>
            <w:gridSpan w:val="2"/>
          </w:tcPr>
          <w:p>
            <w:pPr>
              <w:jc w:val="right"/>
              <w:ind w:right="620"/>
              <w:spacing w:after="0"/>
              <w:rPr>
                <w:sz w:val="20"/>
                <w:szCs w:val="20"/>
                <w:color w:val="auto"/>
              </w:rPr>
            </w:pPr>
            <w:r>
              <w:rPr>
                <w:rFonts w:ascii="Times New Roman" w:cs="Times New Roman" w:eastAsia="Times New Roman" w:hAnsi="Times New Roman"/>
                <w:sz w:val="14"/>
                <w:szCs w:val="14"/>
                <w:i w:val="1"/>
                <w:iCs w:val="1"/>
                <w:color w:val="auto"/>
              </w:rPr>
              <w:t>RMB</w:t>
            </w:r>
          </w:p>
        </w:tc>
        <w:tc>
          <w:tcPr>
            <w:tcW w:w="132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i w:val="1"/>
                <w:iCs w:val="1"/>
                <w:color w:val="auto"/>
              </w:rPr>
              <w:t>RMB</w:t>
            </w:r>
          </w:p>
        </w:tc>
        <w:tc>
          <w:tcPr>
            <w:tcW w:w="1240" w:type="dxa"/>
            <w:vAlign w:val="bottom"/>
            <w:gridSpan w:val="2"/>
          </w:tcPr>
          <w:p>
            <w:pPr>
              <w:jc w:val="center"/>
              <w:ind w:right="140"/>
              <w:spacing w:after="0"/>
              <w:rPr>
                <w:sz w:val="20"/>
                <w:szCs w:val="20"/>
                <w:color w:val="auto"/>
              </w:rPr>
            </w:pPr>
            <w:r>
              <w:rPr>
                <w:rFonts w:ascii="Times New Roman" w:cs="Times New Roman" w:eastAsia="Times New Roman" w:hAnsi="Times New Roman"/>
                <w:sz w:val="14"/>
                <w:szCs w:val="14"/>
                <w:b w:val="1"/>
                <w:bCs w:val="1"/>
                <w:i w:val="1"/>
                <w:iCs w:val="1"/>
                <w:color w:val="auto"/>
              </w:rPr>
              <w:t>US$</w:t>
            </w:r>
          </w:p>
        </w:tc>
        <w:tc>
          <w:tcPr>
            <w:tcW w:w="0" w:type="dxa"/>
            <w:vAlign w:val="bottom"/>
          </w:tcPr>
          <w:p>
            <w:pPr>
              <w:spacing w:after="0"/>
              <w:rPr>
                <w:sz w:val="1"/>
                <w:szCs w:val="1"/>
                <w:color w:val="auto"/>
              </w:rPr>
            </w:pPr>
          </w:p>
        </w:tc>
      </w:tr>
      <w:tr>
        <w:trPr>
          <w:trHeight w:val="216"/>
        </w:trPr>
        <w:tc>
          <w:tcPr>
            <w:tcW w:w="53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Loss from operations</w:t>
            </w:r>
          </w:p>
        </w:tc>
        <w:tc>
          <w:tcPr>
            <w:tcW w:w="178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(1,041,447)</w:t>
            </w:r>
          </w:p>
        </w:tc>
        <w:tc>
          <w:tcPr>
            <w:tcW w:w="13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(44,258)</w:t>
            </w:r>
          </w:p>
        </w:tc>
        <w:tc>
          <w:tcPr>
            <w:tcW w:w="13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(1,874,474)</w:t>
            </w:r>
          </w:p>
        </w:tc>
        <w:tc>
          <w:tcPr>
            <w:tcW w:w="12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(271,740)</w:t>
            </w:r>
          </w:p>
        </w:tc>
        <w:tc>
          <w:tcPr>
            <w:tcW w:w="0" w:type="dxa"/>
            <w:vAlign w:val="bottom"/>
          </w:tcPr>
          <w:p>
            <w:pPr>
              <w:spacing w:after="0"/>
              <w:rPr>
                <w:sz w:val="1"/>
                <w:szCs w:val="1"/>
                <w:color w:val="auto"/>
              </w:rPr>
            </w:pPr>
          </w:p>
        </w:tc>
      </w:tr>
      <w:tr>
        <w:trPr>
          <w:trHeight w:val="198"/>
        </w:trPr>
        <w:tc>
          <w:tcPr>
            <w:tcW w:w="536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Fair value loss (gain) on derivative liability relating to the contingent</w:t>
            </w:r>
          </w:p>
        </w:tc>
        <w:tc>
          <w:tcPr>
            <w:tcW w:w="4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2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(51,113)</w:t>
            </w:r>
          </w:p>
        </w:tc>
        <w:tc>
          <w:tcPr>
            <w:tcW w:w="1240" w:type="dxa"/>
            <w:vAlign w:val="bottom"/>
            <w:gridSpan w:val="2"/>
            <w:vMerge w:val="restart"/>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(7,410)</w:t>
            </w:r>
          </w:p>
        </w:tc>
        <w:tc>
          <w:tcPr>
            <w:tcW w:w="0" w:type="dxa"/>
            <w:vAlign w:val="bottom"/>
          </w:tcPr>
          <w:p>
            <w:pPr>
              <w:spacing w:after="0"/>
              <w:rPr>
                <w:sz w:val="1"/>
                <w:szCs w:val="1"/>
                <w:color w:val="auto"/>
              </w:rPr>
            </w:pPr>
          </w:p>
        </w:tc>
      </w:tr>
      <w:tr>
        <w:trPr>
          <w:trHeight w:val="234"/>
        </w:trPr>
        <w:tc>
          <w:tcPr>
            <w:tcW w:w="53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consideration</w:t>
            </w:r>
          </w:p>
        </w:tc>
        <w:tc>
          <w:tcPr>
            <w:tcW w:w="178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118,229</w:t>
            </w:r>
          </w:p>
        </w:tc>
        <w:tc>
          <w:tcPr>
            <w:tcW w:w="13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(40,744)</w:t>
            </w:r>
          </w:p>
        </w:tc>
        <w:tc>
          <w:tcPr>
            <w:tcW w:w="1320" w:type="dxa"/>
            <w:vAlign w:val="bottom"/>
            <w:gridSpan w:val="2"/>
            <w:vMerge w:val="continue"/>
          </w:tcPr>
          <w:p>
            <w:pPr>
              <w:spacing w:after="0"/>
              <w:rPr>
                <w:sz w:val="20"/>
                <w:szCs w:val="20"/>
                <w:color w:val="auto"/>
              </w:rPr>
            </w:pPr>
          </w:p>
        </w:tc>
        <w:tc>
          <w:tcPr>
            <w:tcW w:w="1240" w:type="dxa"/>
            <w:vAlign w:val="bottom"/>
            <w:gridSpan w:val="2"/>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53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Share-based compensation expenses</w:t>
            </w:r>
          </w:p>
        </w:tc>
        <w:tc>
          <w:tcPr>
            <w:tcW w:w="178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120,028</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162,629</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149,549</w:t>
            </w:r>
          </w:p>
        </w:tc>
        <w:tc>
          <w:tcPr>
            <w:tcW w:w="12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21,680</w:t>
            </w:r>
          </w:p>
        </w:tc>
        <w:tc>
          <w:tcPr>
            <w:tcW w:w="0" w:type="dxa"/>
            <w:vAlign w:val="bottom"/>
          </w:tcPr>
          <w:p>
            <w:pPr>
              <w:spacing w:after="0"/>
              <w:rPr>
                <w:sz w:val="1"/>
                <w:szCs w:val="1"/>
                <w:color w:val="auto"/>
              </w:rPr>
            </w:pPr>
          </w:p>
        </w:tc>
      </w:tr>
      <w:tr>
        <w:trPr>
          <w:trHeight w:val="223"/>
        </w:trPr>
        <w:tc>
          <w:tcPr>
            <w:tcW w:w="53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Non-GAAP (loss) profit from operations</w:t>
            </w:r>
          </w:p>
        </w:tc>
        <w:tc>
          <w:tcPr>
            <w:tcW w:w="460" w:type="dxa"/>
            <w:vAlign w:val="bottom"/>
          </w:tcPr>
          <w:p>
            <w:pPr>
              <w:spacing w:after="0"/>
              <w:rPr>
                <w:sz w:val="19"/>
                <w:szCs w:val="19"/>
                <w:color w:val="auto"/>
              </w:rPr>
            </w:pPr>
          </w:p>
        </w:tc>
        <w:tc>
          <w:tcPr>
            <w:tcW w:w="1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(803,190)</w:t>
            </w:r>
          </w:p>
        </w:tc>
        <w:tc>
          <w:tcPr>
            <w:tcW w:w="220" w:type="dxa"/>
            <w:vAlign w:val="bottom"/>
          </w:tcPr>
          <w:p>
            <w:pPr>
              <w:spacing w:after="0"/>
              <w:rPr>
                <w:sz w:val="19"/>
                <w:szCs w:val="19"/>
                <w:color w:val="auto"/>
              </w:rPr>
            </w:pPr>
          </w:p>
        </w:tc>
        <w:tc>
          <w:tcPr>
            <w:tcW w:w="1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77,627</w:t>
            </w:r>
          </w:p>
        </w:tc>
        <w:tc>
          <w:tcPr>
            <w:tcW w:w="220" w:type="dxa"/>
            <w:vAlign w:val="bottom"/>
          </w:tcPr>
          <w:p>
            <w:pPr>
              <w:spacing w:after="0"/>
              <w:rPr>
                <w:sz w:val="19"/>
                <w:szCs w:val="19"/>
                <w:color w:val="auto"/>
              </w:rPr>
            </w:pPr>
          </w:p>
        </w:tc>
        <w:tc>
          <w:tcPr>
            <w:tcW w:w="1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(1,776,038)</w:t>
            </w:r>
          </w:p>
        </w:tc>
        <w:tc>
          <w:tcPr>
            <w:tcW w:w="220" w:type="dxa"/>
            <w:vAlign w:val="bottom"/>
          </w:tcPr>
          <w:p>
            <w:pPr>
              <w:spacing w:after="0"/>
              <w:rPr>
                <w:sz w:val="19"/>
                <w:szCs w:val="19"/>
                <w:color w:val="auto"/>
              </w:rPr>
            </w:pP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(257,470)</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3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3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(loss) profit</w:t>
            </w:r>
          </w:p>
        </w:tc>
        <w:tc>
          <w:tcPr>
            <w:tcW w:w="178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(664,046)</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383,208</w:t>
            </w:r>
          </w:p>
        </w:tc>
        <w:tc>
          <w:tcPr>
            <w:tcW w:w="13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(1,784,100)</w:t>
            </w:r>
          </w:p>
        </w:tc>
        <w:tc>
          <w:tcPr>
            <w:tcW w:w="12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(258,639)</w:t>
            </w:r>
          </w:p>
        </w:tc>
        <w:tc>
          <w:tcPr>
            <w:tcW w:w="0" w:type="dxa"/>
            <w:vAlign w:val="bottom"/>
          </w:tcPr>
          <w:p>
            <w:pPr>
              <w:spacing w:after="0"/>
              <w:rPr>
                <w:sz w:val="1"/>
                <w:szCs w:val="1"/>
                <w:color w:val="auto"/>
              </w:rPr>
            </w:pPr>
          </w:p>
        </w:tc>
      </w:tr>
      <w:tr>
        <w:trPr>
          <w:trHeight w:val="198"/>
        </w:trPr>
        <w:tc>
          <w:tcPr>
            <w:tcW w:w="536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Fair value loss (gain) on derivative liability relating to the contingent</w:t>
            </w:r>
          </w:p>
        </w:tc>
        <w:tc>
          <w:tcPr>
            <w:tcW w:w="4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2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(51,113)</w:t>
            </w:r>
          </w:p>
        </w:tc>
        <w:tc>
          <w:tcPr>
            <w:tcW w:w="1240" w:type="dxa"/>
            <w:vAlign w:val="bottom"/>
            <w:gridSpan w:val="2"/>
            <w:vMerge w:val="restart"/>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(7,410)</w:t>
            </w:r>
          </w:p>
        </w:tc>
        <w:tc>
          <w:tcPr>
            <w:tcW w:w="0" w:type="dxa"/>
            <w:vAlign w:val="bottom"/>
          </w:tcPr>
          <w:p>
            <w:pPr>
              <w:spacing w:after="0"/>
              <w:rPr>
                <w:sz w:val="1"/>
                <w:szCs w:val="1"/>
                <w:color w:val="auto"/>
              </w:rPr>
            </w:pPr>
          </w:p>
        </w:tc>
      </w:tr>
      <w:tr>
        <w:trPr>
          <w:trHeight w:val="234"/>
        </w:trPr>
        <w:tc>
          <w:tcPr>
            <w:tcW w:w="53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consideration</w:t>
            </w:r>
          </w:p>
        </w:tc>
        <w:tc>
          <w:tcPr>
            <w:tcW w:w="178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118,229</w:t>
            </w:r>
          </w:p>
        </w:tc>
        <w:tc>
          <w:tcPr>
            <w:tcW w:w="13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(40,744)</w:t>
            </w:r>
          </w:p>
        </w:tc>
        <w:tc>
          <w:tcPr>
            <w:tcW w:w="1320" w:type="dxa"/>
            <w:vAlign w:val="bottom"/>
            <w:gridSpan w:val="2"/>
            <w:vMerge w:val="continue"/>
          </w:tcPr>
          <w:p>
            <w:pPr>
              <w:spacing w:after="0"/>
              <w:rPr>
                <w:sz w:val="20"/>
                <w:szCs w:val="20"/>
                <w:color w:val="auto"/>
              </w:rPr>
            </w:pPr>
          </w:p>
        </w:tc>
        <w:tc>
          <w:tcPr>
            <w:tcW w:w="1240" w:type="dxa"/>
            <w:vAlign w:val="bottom"/>
            <w:gridSpan w:val="2"/>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53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Share-based compensation expenses</w:t>
            </w:r>
          </w:p>
        </w:tc>
        <w:tc>
          <w:tcPr>
            <w:tcW w:w="178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120,028</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162,629</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149,549</w:t>
            </w:r>
          </w:p>
        </w:tc>
        <w:tc>
          <w:tcPr>
            <w:tcW w:w="12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21,680</w:t>
            </w:r>
          </w:p>
        </w:tc>
        <w:tc>
          <w:tcPr>
            <w:tcW w:w="0" w:type="dxa"/>
            <w:vAlign w:val="bottom"/>
          </w:tcPr>
          <w:p>
            <w:pPr>
              <w:spacing w:after="0"/>
              <w:rPr>
                <w:sz w:val="1"/>
                <w:szCs w:val="1"/>
                <w:color w:val="auto"/>
              </w:rPr>
            </w:pPr>
          </w:p>
        </w:tc>
      </w:tr>
      <w:tr>
        <w:trPr>
          <w:trHeight w:val="223"/>
        </w:trPr>
        <w:tc>
          <w:tcPr>
            <w:tcW w:w="53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Non-GAAP net (loss) profit</w:t>
            </w:r>
          </w:p>
        </w:tc>
        <w:tc>
          <w:tcPr>
            <w:tcW w:w="460" w:type="dxa"/>
            <w:vAlign w:val="bottom"/>
          </w:tcPr>
          <w:p>
            <w:pPr>
              <w:spacing w:after="0"/>
              <w:rPr>
                <w:sz w:val="19"/>
                <w:szCs w:val="19"/>
                <w:color w:val="auto"/>
              </w:rPr>
            </w:pPr>
          </w:p>
        </w:tc>
        <w:tc>
          <w:tcPr>
            <w:tcW w:w="1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(425,789)</w:t>
            </w:r>
          </w:p>
        </w:tc>
        <w:tc>
          <w:tcPr>
            <w:tcW w:w="220" w:type="dxa"/>
            <w:vAlign w:val="bottom"/>
          </w:tcPr>
          <w:p>
            <w:pPr>
              <w:spacing w:after="0"/>
              <w:rPr>
                <w:sz w:val="19"/>
                <w:szCs w:val="19"/>
                <w:color w:val="auto"/>
              </w:rPr>
            </w:pPr>
          </w:p>
        </w:tc>
        <w:tc>
          <w:tcPr>
            <w:tcW w:w="1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505,093</w:t>
            </w:r>
          </w:p>
        </w:tc>
        <w:tc>
          <w:tcPr>
            <w:tcW w:w="220" w:type="dxa"/>
            <w:vAlign w:val="bottom"/>
          </w:tcPr>
          <w:p>
            <w:pPr>
              <w:spacing w:after="0"/>
              <w:rPr>
                <w:sz w:val="19"/>
                <w:szCs w:val="19"/>
                <w:color w:val="auto"/>
              </w:rPr>
            </w:pPr>
          </w:p>
        </w:tc>
        <w:tc>
          <w:tcPr>
            <w:tcW w:w="1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(1,685,664)</w:t>
            </w:r>
          </w:p>
        </w:tc>
        <w:tc>
          <w:tcPr>
            <w:tcW w:w="220" w:type="dxa"/>
            <w:vAlign w:val="bottom"/>
          </w:tcPr>
          <w:p>
            <w:pPr>
              <w:spacing w:after="0"/>
              <w:rPr>
                <w:sz w:val="19"/>
                <w:szCs w:val="19"/>
                <w:color w:val="auto"/>
              </w:rPr>
            </w:pP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(244,369)</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3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3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(loss) profit attributable to ordinary shareholders</w:t>
            </w:r>
          </w:p>
        </w:tc>
        <w:tc>
          <w:tcPr>
            <w:tcW w:w="178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(664,046)</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383,208</w:t>
            </w:r>
          </w:p>
        </w:tc>
        <w:tc>
          <w:tcPr>
            <w:tcW w:w="13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(1,784,100)</w:t>
            </w:r>
          </w:p>
        </w:tc>
        <w:tc>
          <w:tcPr>
            <w:tcW w:w="12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(258,639)</w:t>
            </w:r>
          </w:p>
        </w:tc>
        <w:tc>
          <w:tcPr>
            <w:tcW w:w="0" w:type="dxa"/>
            <w:vAlign w:val="bottom"/>
          </w:tcPr>
          <w:p>
            <w:pPr>
              <w:spacing w:after="0"/>
              <w:rPr>
                <w:sz w:val="1"/>
                <w:szCs w:val="1"/>
                <w:color w:val="auto"/>
              </w:rPr>
            </w:pPr>
          </w:p>
        </w:tc>
      </w:tr>
      <w:tr>
        <w:trPr>
          <w:trHeight w:val="198"/>
        </w:trPr>
        <w:tc>
          <w:tcPr>
            <w:tcW w:w="536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Fair value loss (gain) on derivative liability relating to the contingent</w:t>
            </w:r>
          </w:p>
        </w:tc>
        <w:tc>
          <w:tcPr>
            <w:tcW w:w="4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2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(51,113)</w:t>
            </w:r>
          </w:p>
        </w:tc>
        <w:tc>
          <w:tcPr>
            <w:tcW w:w="1240" w:type="dxa"/>
            <w:vAlign w:val="bottom"/>
            <w:gridSpan w:val="2"/>
            <w:vMerge w:val="restart"/>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(7,410)</w:t>
            </w:r>
          </w:p>
        </w:tc>
        <w:tc>
          <w:tcPr>
            <w:tcW w:w="0" w:type="dxa"/>
            <w:vAlign w:val="bottom"/>
          </w:tcPr>
          <w:p>
            <w:pPr>
              <w:spacing w:after="0"/>
              <w:rPr>
                <w:sz w:val="1"/>
                <w:szCs w:val="1"/>
                <w:color w:val="auto"/>
              </w:rPr>
            </w:pPr>
          </w:p>
        </w:tc>
      </w:tr>
      <w:tr>
        <w:trPr>
          <w:trHeight w:val="234"/>
        </w:trPr>
        <w:tc>
          <w:tcPr>
            <w:tcW w:w="53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consideration</w:t>
            </w:r>
          </w:p>
        </w:tc>
        <w:tc>
          <w:tcPr>
            <w:tcW w:w="178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118,229</w:t>
            </w:r>
          </w:p>
        </w:tc>
        <w:tc>
          <w:tcPr>
            <w:tcW w:w="13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(40,744)</w:t>
            </w:r>
          </w:p>
        </w:tc>
        <w:tc>
          <w:tcPr>
            <w:tcW w:w="1320" w:type="dxa"/>
            <w:vAlign w:val="bottom"/>
            <w:gridSpan w:val="2"/>
            <w:vMerge w:val="continue"/>
          </w:tcPr>
          <w:p>
            <w:pPr>
              <w:spacing w:after="0"/>
              <w:rPr>
                <w:sz w:val="20"/>
                <w:szCs w:val="20"/>
                <w:color w:val="auto"/>
              </w:rPr>
            </w:pPr>
          </w:p>
        </w:tc>
        <w:tc>
          <w:tcPr>
            <w:tcW w:w="1240" w:type="dxa"/>
            <w:vAlign w:val="bottom"/>
            <w:gridSpan w:val="2"/>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53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Share-based compensation expenses</w:t>
            </w:r>
          </w:p>
        </w:tc>
        <w:tc>
          <w:tcPr>
            <w:tcW w:w="178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120,028</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162,629</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149,549</w:t>
            </w:r>
          </w:p>
        </w:tc>
        <w:tc>
          <w:tcPr>
            <w:tcW w:w="12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21,680</w:t>
            </w:r>
          </w:p>
        </w:tc>
        <w:tc>
          <w:tcPr>
            <w:tcW w:w="0" w:type="dxa"/>
            <w:vAlign w:val="bottom"/>
          </w:tcPr>
          <w:p>
            <w:pPr>
              <w:spacing w:after="0"/>
              <w:rPr>
                <w:sz w:val="1"/>
                <w:szCs w:val="1"/>
                <w:color w:val="auto"/>
              </w:rPr>
            </w:pPr>
          </w:p>
        </w:tc>
      </w:tr>
      <w:tr>
        <w:trPr>
          <w:trHeight w:val="201"/>
        </w:trPr>
        <w:tc>
          <w:tcPr>
            <w:tcW w:w="5360" w:type="dxa"/>
            <w:vAlign w:val="bottom"/>
          </w:tcPr>
          <w:p>
            <w:pPr>
              <w:spacing w:after="0" w:line="201" w:lineRule="exact"/>
              <w:rPr>
                <w:sz w:val="20"/>
                <w:szCs w:val="20"/>
                <w:color w:val="auto"/>
              </w:rPr>
            </w:pPr>
            <w:r>
              <w:rPr>
                <w:rFonts w:ascii="Times New Roman" w:cs="Times New Roman" w:eastAsia="Times New Roman" w:hAnsi="Times New Roman"/>
                <w:sz w:val="18"/>
                <w:szCs w:val="18"/>
                <w:b w:val="1"/>
                <w:bCs w:val="1"/>
                <w:color w:val="auto"/>
              </w:rPr>
              <w:t>Non-GAAP net (loss) profit attributable to ordinary shareholders of</w:t>
            </w:r>
          </w:p>
        </w:tc>
        <w:tc>
          <w:tcPr>
            <w:tcW w:w="460" w:type="dxa"/>
            <w:vAlign w:val="bottom"/>
          </w:tcPr>
          <w:p>
            <w:pPr>
              <w:spacing w:after="0"/>
              <w:rPr>
                <w:sz w:val="17"/>
                <w:szCs w:val="17"/>
                <w:color w:val="auto"/>
              </w:rPr>
            </w:pPr>
          </w:p>
        </w:tc>
        <w:tc>
          <w:tcPr>
            <w:tcW w:w="1100" w:type="dxa"/>
            <w:vAlign w:val="bottom"/>
            <w:tcBorders>
              <w:top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1100" w:type="dxa"/>
            <w:vAlign w:val="bottom"/>
            <w:tcBorders>
              <w:top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1100" w:type="dxa"/>
            <w:vAlign w:val="bottom"/>
            <w:tcBorders>
              <w:top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112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8"/>
        </w:trPr>
        <w:tc>
          <w:tcPr>
            <w:tcW w:w="5360" w:type="dxa"/>
            <w:vAlign w:val="bottom"/>
          </w:tcPr>
          <w:p>
            <w:pPr>
              <w:ind w:left="180"/>
              <w:spacing w:after="0"/>
              <w:rPr>
                <w:sz w:val="20"/>
                <w:szCs w:val="20"/>
                <w:color w:val="auto"/>
              </w:rPr>
            </w:pPr>
            <w:r>
              <w:rPr>
                <w:rFonts w:ascii="Times New Roman" w:cs="Times New Roman" w:eastAsia="Times New Roman" w:hAnsi="Times New Roman"/>
                <w:sz w:val="18"/>
                <w:szCs w:val="18"/>
                <w:b w:val="1"/>
                <w:bCs w:val="1"/>
                <w:color w:val="auto"/>
              </w:rPr>
              <w:t>XPeng Inc.</w:t>
            </w:r>
          </w:p>
        </w:tc>
        <w:tc>
          <w:tcPr>
            <w:tcW w:w="178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(425,789)</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505,093</w:t>
            </w:r>
          </w:p>
        </w:tc>
        <w:tc>
          <w:tcPr>
            <w:tcW w:w="13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(1,685,664)</w:t>
            </w:r>
          </w:p>
        </w:tc>
        <w:tc>
          <w:tcPr>
            <w:tcW w:w="12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(244,369)</w:t>
            </w:r>
          </w:p>
        </w:tc>
        <w:tc>
          <w:tcPr>
            <w:tcW w:w="0" w:type="dxa"/>
            <w:vAlign w:val="bottom"/>
          </w:tcPr>
          <w:p>
            <w:pPr>
              <w:spacing w:after="0"/>
              <w:rPr>
                <w:sz w:val="1"/>
                <w:szCs w:val="1"/>
                <w:color w:val="auto"/>
              </w:rPr>
            </w:pPr>
          </w:p>
        </w:tc>
      </w:tr>
      <w:tr>
        <w:trPr>
          <w:trHeight w:val="20"/>
        </w:trPr>
        <w:tc>
          <w:tcPr>
            <w:tcW w:w="53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8"/>
        </w:trPr>
        <w:tc>
          <w:tcPr>
            <w:tcW w:w="5360" w:type="dxa"/>
            <w:vAlign w:val="bottom"/>
            <w:shd w:val="clear" w:color="auto" w:fill="CCEEFF"/>
          </w:tcPr>
          <w:p>
            <w:pPr>
              <w:spacing w:after="0" w:line="188" w:lineRule="exact"/>
              <w:rPr>
                <w:sz w:val="20"/>
                <w:szCs w:val="20"/>
                <w:color w:val="auto"/>
              </w:rPr>
            </w:pPr>
            <w:r>
              <w:rPr>
                <w:rFonts w:ascii="Times New Roman" w:cs="Times New Roman" w:eastAsia="Times New Roman" w:hAnsi="Times New Roman"/>
                <w:sz w:val="18"/>
                <w:szCs w:val="18"/>
                <w:b w:val="1"/>
                <w:bCs w:val="1"/>
                <w:color w:val="auto"/>
              </w:rPr>
              <w:t>Weighted average number of ordinary shares used in calculating</w:t>
            </w:r>
          </w:p>
        </w:tc>
        <w:tc>
          <w:tcPr>
            <w:tcW w:w="460" w:type="dxa"/>
            <w:vAlign w:val="bottom"/>
            <w:shd w:val="clear" w:color="auto" w:fill="CCEEFF"/>
          </w:tcPr>
          <w:p>
            <w:pPr>
              <w:spacing w:after="0"/>
              <w:rPr>
                <w:sz w:val="16"/>
                <w:szCs w:val="16"/>
                <w:color w:val="auto"/>
              </w:rPr>
            </w:pPr>
          </w:p>
        </w:tc>
        <w:tc>
          <w:tcPr>
            <w:tcW w:w="11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1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1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8"/>
        </w:trPr>
        <w:tc>
          <w:tcPr>
            <w:tcW w:w="53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b w:val="1"/>
                <w:bCs w:val="1"/>
                <w:color w:val="auto"/>
              </w:rPr>
              <w:t>Non-GAAP net (loss) profit per share</w:t>
            </w:r>
          </w:p>
        </w:tc>
        <w:tc>
          <w:tcPr>
            <w:tcW w:w="460" w:type="dxa"/>
            <w:vAlign w:val="bottom"/>
            <w:shd w:val="clear" w:color="auto" w:fill="CCEEFF"/>
          </w:tcPr>
          <w:p>
            <w:pPr>
              <w:spacing w:after="0"/>
              <w:rPr>
                <w:sz w:val="20"/>
                <w:szCs w:val="20"/>
                <w:color w:val="auto"/>
              </w:rPr>
            </w:pPr>
          </w:p>
        </w:tc>
        <w:tc>
          <w:tcPr>
            <w:tcW w:w="11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1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1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1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5360" w:type="dxa"/>
            <w:vAlign w:val="bottom"/>
          </w:tcPr>
          <w:p>
            <w:pPr>
              <w:spacing w:after="0"/>
              <w:rPr>
                <w:sz w:val="20"/>
                <w:szCs w:val="20"/>
                <w:color w:val="auto"/>
              </w:rPr>
            </w:pPr>
            <w:r>
              <w:rPr>
                <w:rFonts w:ascii="Times New Roman" w:cs="Times New Roman" w:eastAsia="Times New Roman" w:hAnsi="Times New Roman"/>
                <w:sz w:val="18"/>
                <w:szCs w:val="18"/>
                <w:color w:val="auto"/>
              </w:rPr>
              <w:t>Basic</w:t>
            </w:r>
          </w:p>
        </w:tc>
        <w:tc>
          <w:tcPr>
            <w:tcW w:w="178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1,899,365,591</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1,908,651,262</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1,910,568,643</w:t>
            </w:r>
          </w:p>
        </w:tc>
        <w:tc>
          <w:tcPr>
            <w:tcW w:w="12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1,910,568,643</w:t>
            </w:r>
          </w:p>
        </w:tc>
        <w:tc>
          <w:tcPr>
            <w:tcW w:w="0" w:type="dxa"/>
            <w:vAlign w:val="bottom"/>
          </w:tcPr>
          <w:p>
            <w:pPr>
              <w:spacing w:after="0"/>
              <w:rPr>
                <w:sz w:val="1"/>
                <w:szCs w:val="1"/>
                <w:color w:val="auto"/>
              </w:rPr>
            </w:pPr>
          </w:p>
        </w:tc>
      </w:tr>
      <w:tr>
        <w:trPr>
          <w:trHeight w:val="216"/>
        </w:trPr>
        <w:tc>
          <w:tcPr>
            <w:tcW w:w="53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Diluted</w:t>
            </w:r>
          </w:p>
        </w:tc>
        <w:tc>
          <w:tcPr>
            <w:tcW w:w="178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1,899,365,591</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1,934,719,272</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1,910,568,643</w:t>
            </w:r>
          </w:p>
        </w:tc>
        <w:tc>
          <w:tcPr>
            <w:tcW w:w="12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1,910,568,643</w:t>
            </w:r>
          </w:p>
        </w:tc>
        <w:tc>
          <w:tcPr>
            <w:tcW w:w="0" w:type="dxa"/>
            <w:vAlign w:val="bottom"/>
          </w:tcPr>
          <w:p>
            <w:pPr>
              <w:spacing w:after="0"/>
              <w:rPr>
                <w:sz w:val="1"/>
                <w:szCs w:val="1"/>
                <w:color w:val="auto"/>
              </w:rPr>
            </w:pPr>
          </w:p>
        </w:tc>
      </w:tr>
      <w:tr>
        <w:trPr>
          <w:trHeight w:val="216"/>
        </w:trPr>
        <w:tc>
          <w:tcPr>
            <w:tcW w:w="53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Non-GAAP net (loss) profit per ordinary share</w:t>
            </w:r>
          </w:p>
        </w:tc>
        <w:tc>
          <w:tcPr>
            <w:tcW w:w="4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3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Basic</w:t>
            </w:r>
          </w:p>
        </w:tc>
        <w:tc>
          <w:tcPr>
            <w:tcW w:w="178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(0.22)</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0.26</w:t>
            </w:r>
          </w:p>
        </w:tc>
        <w:tc>
          <w:tcPr>
            <w:tcW w:w="13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(0.88)</w:t>
            </w:r>
          </w:p>
        </w:tc>
        <w:tc>
          <w:tcPr>
            <w:tcW w:w="12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(0.13)</w:t>
            </w:r>
          </w:p>
        </w:tc>
        <w:tc>
          <w:tcPr>
            <w:tcW w:w="0" w:type="dxa"/>
            <w:vAlign w:val="bottom"/>
          </w:tcPr>
          <w:p>
            <w:pPr>
              <w:spacing w:after="0"/>
              <w:rPr>
                <w:sz w:val="1"/>
                <w:szCs w:val="1"/>
                <w:color w:val="auto"/>
              </w:rPr>
            </w:pPr>
          </w:p>
        </w:tc>
      </w:tr>
      <w:tr>
        <w:trPr>
          <w:trHeight w:val="216"/>
        </w:trPr>
        <w:tc>
          <w:tcPr>
            <w:tcW w:w="5360" w:type="dxa"/>
            <w:vAlign w:val="bottom"/>
          </w:tcPr>
          <w:p>
            <w:pPr>
              <w:spacing w:after="0"/>
              <w:rPr>
                <w:sz w:val="20"/>
                <w:szCs w:val="20"/>
                <w:color w:val="auto"/>
              </w:rPr>
            </w:pPr>
            <w:r>
              <w:rPr>
                <w:rFonts w:ascii="Times New Roman" w:cs="Times New Roman" w:eastAsia="Times New Roman" w:hAnsi="Times New Roman"/>
                <w:sz w:val="18"/>
                <w:szCs w:val="18"/>
                <w:color w:val="auto"/>
              </w:rPr>
              <w:t>Diluted</w:t>
            </w:r>
          </w:p>
        </w:tc>
        <w:tc>
          <w:tcPr>
            <w:tcW w:w="178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(0.22)</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0.26</w:t>
            </w:r>
          </w:p>
        </w:tc>
        <w:tc>
          <w:tcPr>
            <w:tcW w:w="13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(0.88)</w:t>
            </w:r>
          </w:p>
        </w:tc>
        <w:tc>
          <w:tcPr>
            <w:tcW w:w="12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(0.13)</w:t>
            </w:r>
          </w:p>
        </w:tc>
        <w:tc>
          <w:tcPr>
            <w:tcW w:w="0" w:type="dxa"/>
            <w:vAlign w:val="bottom"/>
          </w:tcPr>
          <w:p>
            <w:pPr>
              <w:spacing w:after="0"/>
              <w:rPr>
                <w:sz w:val="1"/>
                <w:szCs w:val="1"/>
                <w:color w:val="auto"/>
              </w:rPr>
            </w:pPr>
          </w:p>
        </w:tc>
      </w:tr>
      <w:tr>
        <w:trPr>
          <w:trHeight w:val="194"/>
        </w:trPr>
        <w:tc>
          <w:tcPr>
            <w:tcW w:w="5360" w:type="dxa"/>
            <w:vAlign w:val="bottom"/>
            <w:shd w:val="clear" w:color="auto" w:fill="CCEEFF"/>
          </w:tcPr>
          <w:p>
            <w:pPr>
              <w:spacing w:after="0" w:line="194" w:lineRule="exact"/>
              <w:rPr>
                <w:sz w:val="20"/>
                <w:szCs w:val="20"/>
                <w:color w:val="auto"/>
              </w:rPr>
            </w:pPr>
            <w:r>
              <w:rPr>
                <w:rFonts w:ascii="Times New Roman" w:cs="Times New Roman" w:eastAsia="Times New Roman" w:hAnsi="Times New Roman"/>
                <w:sz w:val="18"/>
                <w:szCs w:val="18"/>
                <w:b w:val="1"/>
                <w:bCs w:val="1"/>
                <w:color w:val="auto"/>
              </w:rPr>
              <w:t>Weighted average number of ADS used in calculating Non-GAAP net</w:t>
            </w:r>
          </w:p>
        </w:tc>
        <w:tc>
          <w:tcPr>
            <w:tcW w:w="460" w:type="dxa"/>
            <w:vAlign w:val="bottom"/>
            <w:shd w:val="clear" w:color="auto" w:fill="CCEEFF"/>
          </w:tcPr>
          <w:p>
            <w:pPr>
              <w:spacing w:after="0"/>
              <w:rPr>
                <w:sz w:val="16"/>
                <w:szCs w:val="16"/>
                <w:color w:val="auto"/>
              </w:rPr>
            </w:pPr>
          </w:p>
        </w:tc>
        <w:tc>
          <w:tcPr>
            <w:tcW w:w="11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1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1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8"/>
        </w:trPr>
        <w:tc>
          <w:tcPr>
            <w:tcW w:w="53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b w:val="1"/>
                <w:bCs w:val="1"/>
                <w:color w:val="auto"/>
              </w:rPr>
              <w:t>(loss) profit per share</w:t>
            </w:r>
          </w:p>
        </w:tc>
        <w:tc>
          <w:tcPr>
            <w:tcW w:w="460" w:type="dxa"/>
            <w:vAlign w:val="bottom"/>
            <w:shd w:val="clear" w:color="auto" w:fill="CCEEFF"/>
          </w:tcPr>
          <w:p>
            <w:pPr>
              <w:spacing w:after="0"/>
              <w:rPr>
                <w:sz w:val="20"/>
                <w:szCs w:val="20"/>
                <w:color w:val="auto"/>
              </w:rPr>
            </w:pPr>
          </w:p>
        </w:tc>
        <w:tc>
          <w:tcPr>
            <w:tcW w:w="11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1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1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1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5360" w:type="dxa"/>
            <w:vAlign w:val="bottom"/>
          </w:tcPr>
          <w:p>
            <w:pPr>
              <w:spacing w:after="0"/>
              <w:rPr>
                <w:sz w:val="20"/>
                <w:szCs w:val="20"/>
                <w:color w:val="auto"/>
              </w:rPr>
            </w:pPr>
            <w:r>
              <w:rPr>
                <w:rFonts w:ascii="Times New Roman" w:cs="Times New Roman" w:eastAsia="Times New Roman" w:hAnsi="Times New Roman"/>
                <w:sz w:val="18"/>
                <w:szCs w:val="18"/>
                <w:color w:val="auto"/>
              </w:rPr>
              <w:t>Basic</w:t>
            </w:r>
          </w:p>
        </w:tc>
        <w:tc>
          <w:tcPr>
            <w:tcW w:w="178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949,682,796</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954,325,631</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955,284,322</w:t>
            </w:r>
          </w:p>
        </w:tc>
        <w:tc>
          <w:tcPr>
            <w:tcW w:w="12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955,284,322</w:t>
            </w:r>
          </w:p>
        </w:tc>
        <w:tc>
          <w:tcPr>
            <w:tcW w:w="0" w:type="dxa"/>
            <w:vAlign w:val="bottom"/>
          </w:tcPr>
          <w:p>
            <w:pPr>
              <w:spacing w:after="0"/>
              <w:rPr>
                <w:sz w:val="1"/>
                <w:szCs w:val="1"/>
                <w:color w:val="auto"/>
              </w:rPr>
            </w:pPr>
          </w:p>
        </w:tc>
      </w:tr>
      <w:tr>
        <w:trPr>
          <w:trHeight w:val="216"/>
        </w:trPr>
        <w:tc>
          <w:tcPr>
            <w:tcW w:w="53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Diluted</w:t>
            </w:r>
          </w:p>
        </w:tc>
        <w:tc>
          <w:tcPr>
            <w:tcW w:w="178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949,682,796</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967,359,636</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955,284,322</w:t>
            </w:r>
          </w:p>
        </w:tc>
        <w:tc>
          <w:tcPr>
            <w:tcW w:w="12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955,284,322</w:t>
            </w:r>
          </w:p>
        </w:tc>
        <w:tc>
          <w:tcPr>
            <w:tcW w:w="0" w:type="dxa"/>
            <w:vAlign w:val="bottom"/>
          </w:tcPr>
          <w:p>
            <w:pPr>
              <w:spacing w:after="0"/>
              <w:rPr>
                <w:sz w:val="1"/>
                <w:szCs w:val="1"/>
                <w:color w:val="auto"/>
              </w:rPr>
            </w:pPr>
          </w:p>
        </w:tc>
      </w:tr>
      <w:tr>
        <w:trPr>
          <w:trHeight w:val="216"/>
        </w:trPr>
        <w:tc>
          <w:tcPr>
            <w:tcW w:w="53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Non-GAAP net (loss) profit per ADS</w:t>
            </w:r>
          </w:p>
        </w:tc>
        <w:tc>
          <w:tcPr>
            <w:tcW w:w="4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3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Basic</w:t>
            </w:r>
          </w:p>
        </w:tc>
        <w:tc>
          <w:tcPr>
            <w:tcW w:w="178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(0.45)</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0.53</w:t>
            </w:r>
          </w:p>
        </w:tc>
        <w:tc>
          <w:tcPr>
            <w:tcW w:w="13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(1.76)</w:t>
            </w:r>
          </w:p>
        </w:tc>
        <w:tc>
          <w:tcPr>
            <w:tcW w:w="12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(0.26)</w:t>
            </w:r>
          </w:p>
        </w:tc>
        <w:tc>
          <w:tcPr>
            <w:tcW w:w="0" w:type="dxa"/>
            <w:vAlign w:val="bottom"/>
          </w:tcPr>
          <w:p>
            <w:pPr>
              <w:spacing w:after="0"/>
              <w:rPr>
                <w:sz w:val="1"/>
                <w:szCs w:val="1"/>
                <w:color w:val="auto"/>
              </w:rPr>
            </w:pPr>
          </w:p>
        </w:tc>
      </w:tr>
      <w:tr>
        <w:trPr>
          <w:trHeight w:val="238"/>
        </w:trPr>
        <w:tc>
          <w:tcPr>
            <w:tcW w:w="5360" w:type="dxa"/>
            <w:vAlign w:val="bottom"/>
          </w:tcPr>
          <w:p>
            <w:pPr>
              <w:spacing w:after="0"/>
              <w:rPr>
                <w:sz w:val="20"/>
                <w:szCs w:val="20"/>
                <w:color w:val="auto"/>
              </w:rPr>
            </w:pPr>
            <w:r>
              <w:rPr>
                <w:rFonts w:ascii="Times New Roman" w:cs="Times New Roman" w:eastAsia="Times New Roman" w:hAnsi="Times New Roman"/>
                <w:sz w:val="18"/>
                <w:szCs w:val="18"/>
                <w:color w:val="auto"/>
              </w:rPr>
              <w:t>Diluted</w:t>
            </w:r>
          </w:p>
        </w:tc>
        <w:tc>
          <w:tcPr>
            <w:tcW w:w="178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(0.45)</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0.52</w:t>
            </w:r>
          </w:p>
        </w:tc>
        <w:tc>
          <w:tcPr>
            <w:tcW w:w="13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(1.76)</w:t>
            </w:r>
          </w:p>
        </w:tc>
        <w:tc>
          <w:tcPr>
            <w:tcW w:w="12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(0.26)</w:t>
            </w:r>
          </w:p>
        </w:tc>
        <w:tc>
          <w:tcPr>
            <w:tcW w:w="0" w:type="dxa"/>
            <w:vAlign w:val="bottom"/>
          </w:tcPr>
          <w:p>
            <w:pPr>
              <w:spacing w:after="0"/>
              <w:rPr>
                <w:sz w:val="1"/>
                <w:szCs w:val="1"/>
                <w:color w:val="auto"/>
              </w:rPr>
            </w:pPr>
          </w:p>
        </w:tc>
      </w:tr>
      <w:tr>
        <w:trPr>
          <w:trHeight w:val="342"/>
        </w:trPr>
        <w:tc>
          <w:tcPr>
            <w:tcW w:w="5360" w:type="dxa"/>
            <w:vAlign w:val="bottom"/>
          </w:tcPr>
          <w:p>
            <w:pPr>
              <w:spacing w:after="0"/>
              <w:rPr>
                <w:sz w:val="24"/>
                <w:szCs w:val="24"/>
                <w:color w:val="auto"/>
              </w:rPr>
            </w:pPr>
          </w:p>
        </w:tc>
        <w:tc>
          <w:tcPr>
            <w:tcW w:w="46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13</w:t>
            </w:r>
          </w:p>
        </w:tc>
        <w:tc>
          <w:tcPr>
            <w:tcW w:w="1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1" w:lineRule="exact"/>
        <w:rPr>
          <w:sz w:val="20"/>
          <w:szCs w:val="20"/>
          <w:color w:val="auto"/>
        </w:rPr>
      </w:pPr>
    </w:p>
    <w:sectPr>
      <w:pgSz w:w="11900" w:h="16838" w:orient="portrait"/>
      <w:cols w:equalWidth="0" w:num="1">
        <w:col w:w="11020"/>
      </w:cols>
      <w:pgMar w:left="440" w:top="738" w:right="4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9495CFF"/>
    <w:multiLevelType w:val="hybridMultilevel"/>
    <w:lvl w:ilvl="0">
      <w:lvlJc w:val="left"/>
      <w:lvlText w:val="•"/>
      <w:numFmt w:val="bullet"/>
      <w:start w:val="1"/>
    </w:lvl>
  </w:abstractNum>
  <w:abstractNum w:abstractNumId="1">
    <w:nsid w:val="2AE8944A"/>
    <w:multiLevelType w:val="hybridMultilevel"/>
    <w:lvl w:ilvl="0">
      <w:lvlJc w:val="left"/>
      <w:lvlText w:val="%1"/>
      <w:numFmt w:val="lowerRoman"/>
      <w:start w:val="1"/>
    </w:lvl>
    <w:lvl w:ilvl="1">
      <w:lvlJc w:val="left"/>
      <w:lvlText w:val="•"/>
      <w:numFmt w:val="bullet"/>
      <w:start w:val="1"/>
    </w:lvl>
  </w:abstractNum>
  <w:abstractNum w:abstractNumId="2">
    <w:nsid w:val="625558EC"/>
    <w:multiLevelType w:val="hybridMultilevel"/>
    <w:lvl w:ilvl="0">
      <w:lvlJc w:val="left"/>
      <w:lvlText w:val="•"/>
      <w:numFmt w:val="bullet"/>
      <w:start w:val="1"/>
    </w:lvl>
  </w:abstractNum>
  <w:abstractNum w:abstractNumId="3">
    <w:nsid w:val="238E1F29"/>
    <w:multiLevelType w:val="hybridMultilevel"/>
    <w:lvl w:ilvl="0">
      <w:lvlJc w:val="left"/>
      <w:lvlText w:val="•"/>
      <w:numFmt w:val="bullet"/>
      <w:start w:val="1"/>
    </w:lvl>
  </w:abstractNum>
  <w:abstractNum w:abstractNumId="4">
    <w:nsid w:val="46E87CCD"/>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jpe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jpe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jpeg"/><Relationship Id="rId26" Type="http://schemas.openxmlformats.org/officeDocument/2006/relationships/image" Target="media/image19.png"/><Relationship Id="rId27" Type="http://schemas.openxmlformats.org/officeDocument/2006/relationships/image" Target="media/image20.jpeg"/><Relationship Id="rId28" Type="http://schemas.openxmlformats.org/officeDocument/2006/relationships/image" Target="media/image21.png"/><Relationship Id="rId29" Type="http://schemas.openxmlformats.org/officeDocument/2006/relationships/image" Target="media/image22.jpeg"/><Relationship Id="rId30" Type="http://schemas.openxmlformats.org/officeDocument/2006/relationships/image" Target="media/image23.png"/><Relationship Id="rId31" Type="http://schemas.openxmlformats.org/officeDocument/2006/relationships/image" Target="media/image24.jpeg"/><Relationship Id="rId32" Type="http://schemas.openxmlformats.org/officeDocument/2006/relationships/image" Target="media/image25.png"/><Relationship Id="rId33" Type="http://schemas.openxmlformats.org/officeDocument/2006/relationships/image" Target="media/image26.jpeg"/><Relationship Id="rId34" Type="http://schemas.openxmlformats.org/officeDocument/2006/relationships/image" Target="media/image27.png"/><Relationship Id="rId35" Type="http://schemas.openxmlformats.org/officeDocument/2006/relationships/image" Target="media/image28.jpeg"/><Relationship Id="rId36" Type="http://schemas.openxmlformats.org/officeDocument/2006/relationships/image" Target="media/image29.png"/><Relationship Id="rId37" Type="http://schemas.openxmlformats.org/officeDocument/2006/relationships/image" Target="media/image30.jpeg"/><Relationship Id="rId38" Type="http://schemas.openxmlformats.org/officeDocument/2006/relationships/image" Target="media/image31.png"/><Relationship Id="rId39" Type="http://schemas.openxmlformats.org/officeDocument/2006/relationships/image" Target="media/image32.jpeg"/><Relationship Id="rId40" Type="http://schemas.openxmlformats.org/officeDocument/2006/relationships/image" Target="media/image33.png"/><Relationship Id="rId41" Type="http://schemas.openxmlformats.org/officeDocument/2006/relationships/image" Target="media/image34.jpeg"/><Relationship Id="rId42" Type="http://schemas.openxmlformats.org/officeDocument/2006/relationships/image" Target="media/image35.png"/><Relationship Id="rId43" Type="http://schemas.openxmlformats.org/officeDocument/2006/relationships/image" Target="media/image36.jpeg"/><Relationship Id="rId44" Type="http://schemas.openxmlformats.org/officeDocument/2006/relationships/image" Target="media/image37.png"/><Relationship Id="rId45" Type="http://schemas.openxmlformats.org/officeDocument/2006/relationships/image" Target="media/image38.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2026-05-28T08:14:45Z</dcterms:created>
  <dcterms:modified xsi:type="dcterms:W3CDTF">2026-05-28T08:14:45Z</dcterms:modified>
</cp:coreProperties>
</file>